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401(k) Plan Administration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Management Memorandum</w:t>
      </w:r>
    </w:p>
    <w:p>
      <w:pPr>
        <w:keepNext w:val="0"/>
        <w:spacing w:before="200" w:after="0" w:line="260" w:lineRule="exact"/>
        <w:ind w:left="720" w:right="0" w:firstLine="0"/>
        <w:jc w:val="both"/>
      </w:pPr>
      <w:r>
        <w:rPr>
          <w:rFonts w:ascii="Times New Roman" w:hAnsi="Times New Roman" w:eastAsia="Times New Roman" w:cs="Times New Roman"/>
          <w:b w:val="0"/>
          <w:sz w:val="24"/>
        </w:rPr>
        <w:t>CONFIDENTIAL</w:t>
      </w:r>
    </w:p>
    <w:p>
      <w:pPr>
        <w:keepNext w:val="0"/>
        <w:spacing w:before="200" w:after="0" w:line="260" w:lineRule="exact"/>
        <w:ind w:left="720" w:right="0" w:firstLine="0"/>
        <w:jc w:val="both"/>
      </w:pPr>
      <w:r>
        <w:rPr>
          <w:rFonts w:ascii="Times New Roman" w:hAnsi="Times New Roman" w:eastAsia="Times New Roman" w:cs="Times New Roman"/>
          <w:b w:val="0"/>
          <w:sz w:val="24"/>
        </w:rPr>
        <w:t>ATTORNEYCLIENT-PRIVILEGE</w:t>
      </w:r>
    </w:p>
    <w:p>
      <w:pPr>
        <w:keepNext w:val="0"/>
        <w:spacing w:before="200" w:after="0" w:line="260" w:lineRule="exact"/>
        <w:ind w:left="720" w:right="0" w:firstLine="0"/>
        <w:jc w:val="both"/>
      </w:pPr>
      <w:r>
        <w:rPr>
          <w:rFonts w:ascii="Times New Roman" w:hAnsi="Times New Roman" w:eastAsia="Times New Roman" w:cs="Times New Roman"/>
          <w:b w:val="0"/>
          <w:sz w:val="24"/>
        </w:rPr>
        <w:t>ATTORNEY WORK PRODUCT</w:t>
      </w:r>
    </w:p>
    <w:p>
      <w:pPr>
        <w:keepNext w:val="0"/>
        <w:spacing w:before="200" w:after="0" w:line="260" w:lineRule="exact"/>
        <w:ind w:left="720" w:right="0" w:firstLine="0"/>
        <w:jc w:val="both"/>
      </w:pPr>
      <w:r>
        <w:rPr>
          <w:rFonts w:ascii="Times New Roman" w:hAnsi="Times New Roman" w:eastAsia="Times New Roman" w:cs="Times New Roman"/>
          <w:b w:val="0"/>
          <w:sz w:val="24"/>
        </w:rPr>
        <w:t>TO: [client name]</w:t>
      </w:r>
    </w:p>
    <w:p>
      <w:pPr>
        <w:keepNext w:val="0"/>
        <w:spacing w:before="200" w:after="0" w:line="260" w:lineRule="exact"/>
        <w:ind w:left="720" w:right="0" w:firstLine="0"/>
        <w:jc w:val="both"/>
      </w:pPr>
      <w:r>
        <w:rPr>
          <w:rFonts w:ascii="Times New Roman" w:hAnsi="Times New Roman" w:eastAsia="Times New Roman" w:cs="Times New Roman"/>
          <w:b w:val="0"/>
          <w:sz w:val="24"/>
        </w:rPr>
        <w:t>FROM: [attorney's name, law firm name]</w:t>
      </w:r>
    </w:p>
    <w:p>
      <w:pPr>
        <w:keepNext w:val="0"/>
        <w:spacing w:before="200" w:after="0" w:line="260" w:lineRule="exact"/>
        <w:ind w:left="720" w:right="0" w:firstLine="0"/>
        <w:jc w:val="both"/>
      </w:pPr>
      <w:r>
        <w:rPr>
          <w:rFonts w:ascii="Times New Roman" w:hAnsi="Times New Roman" w:eastAsia="Times New Roman" w:cs="Times New Roman"/>
          <w:b w:val="0"/>
          <w:sz w:val="24"/>
        </w:rPr>
        <w:t>DATE: [date]</w:t>
      </w:r>
    </w:p>
    <w:p>
      <w:pPr>
        <w:keepNext w:val="0"/>
        <w:spacing w:before="200" w:after="0" w:line="260" w:lineRule="exact"/>
        <w:ind w:left="720" w:right="0" w:firstLine="0"/>
        <w:jc w:val="both"/>
      </w:pPr>
      <w:r>
        <w:rPr>
          <w:rFonts w:ascii="Times New Roman" w:hAnsi="Times New Roman" w:eastAsia="Times New Roman" w:cs="Times New Roman"/>
          <w:b w:val="0"/>
          <w:sz w:val="24"/>
        </w:rPr>
        <w:t>SUBJECT: Key Considerations for Administering the [plan name]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memorandum provides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overview of the key considerations that you, as plan sponsor of the [plan name], as adopted and effective on [date] (the Plan), should take into account when administering the Plan. It is arranged in five parts: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Initial Enrollment for Eligible Employees</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Day-to-day Plan Administration Issues</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Nondiscrimination Testing of Eligible Employee Contributions and Employer Contributions</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Internal Controls</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Selecting Plan Service Providers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Initial Enrollment for Eligible Employees.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Your initial task in administering the plan, once all service providers and investment options have been selected, is 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Communicate the terms of the plan to eligible employees using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plan description (SPD) –and–</w:t>
      </w:r>
    </w:p>
    <w:p>
      <w:pPr>
        <w:keepNext w:val="0"/>
        <w:spacing w:before="200" w:after="0" w:line="260" w:lineRule="exact"/>
        <w:ind w:left="1080" w:right="0" w:firstLine="0"/>
        <w:jc w:val="both"/>
      </w:pPr>
      <w:r>
        <w:rPr>
          <w:rFonts w:ascii="Times New Roman" w:hAnsi="Times New Roman" w:eastAsia="Times New Roman" w:cs="Times New Roman"/>
          <w:b w:val="0"/>
          <w:sz w:val="24"/>
        </w:rPr>
        <w:t>• Identify, reach out to, and enroll eligible employees in the plan after developing enrollment communications</w:t>
      </w:r>
    </w:p>
    <w:p>
      <w:pPr>
        <w:keepNext w:val="0"/>
        <w:spacing w:before="200" w:after="0" w:line="260" w:lineRule="exact"/>
        <w:ind w:left="720" w:right="0" w:firstLine="0"/>
        <w:jc w:val="both"/>
      </w:pPr>
      <w:r>
        <w:rPr>
          <w:rFonts w:ascii="Times New Roman" w:hAnsi="Times New Roman" w:eastAsia="Times New Roman" w:cs="Times New Roman"/>
          <w:b w:val="0"/>
          <w:sz w:val="24"/>
        </w:rPr>
        <w:t>Enrollment will require coordination among various in-house departments (particularly payroll services and human resources) and third parties, primarily the Plan's third party administrator and recordkeeper. How you communicate with any eligible employee, both for purposes of distributing the SPD and providing enrollment materials, will depend on whether or not the eligible employee has access to email or web access via the plan sponsor's computer system [or that of any other employer maintaining the plan].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To the extent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employee has such access you (or the third party administrator) can, but are not required to, communicate with these employees by email, providing them the SPD that [you OR the prototype plan provider] have prepared and direct them to enroll in the plan using the recordkeeper's web portal. For all other eligible employees (i.e. all eligible employees without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computer) you must distribute the SPD and all enrollment materials by paper delivery, and not electronically. The same issue arises for plan communications once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terminates employment. It's most likely that you will have to communicate with former employees by print, using ordinary mail. However, you can communicate with them electronically if they agree and electronic access is still available to them.</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Day-to-Day Plan Administration Issues.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401(k) plan is designed primarily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savings vehicle to [supplement your employee's pension benefits or] be your employees' primary retirement savings vehicle. Strictly speaking, benefits are not required to begin until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normal retirement date (typically age 65), but most employers design and the plan has been designed, to provide the following:</w:t>
      </w:r>
    </w:p>
    <w:p>
      <w:pPr>
        <w:keepNext w:val="0"/>
        <w:spacing w:before="200" w:after="0" w:line="260" w:lineRule="exact"/>
        <w:ind w:left="1440" w:right="0" w:firstLine="0"/>
        <w:jc w:val="both"/>
      </w:pPr>
      <w:r>
        <w:rPr>
          <w:rFonts w:ascii="Times New Roman" w:hAnsi="Times New Roman" w:eastAsia="Times New Roman" w:cs="Times New Roman"/>
          <w:b w:val="0"/>
          <w:sz w:val="24"/>
        </w:rPr>
        <w:t>• Participant-directed investments and default investments</w:t>
      </w:r>
    </w:p>
    <w:p>
      <w:pPr>
        <w:keepNext w:val="0"/>
        <w:spacing w:before="200" w:after="0" w:line="260" w:lineRule="exact"/>
        <w:ind w:left="1440" w:right="0" w:firstLine="0"/>
        <w:jc w:val="both"/>
      </w:pPr>
      <w:r>
        <w:rPr>
          <w:rFonts w:ascii="Times New Roman" w:hAnsi="Times New Roman" w:eastAsia="Times New Roman" w:cs="Times New Roman"/>
          <w:b w:val="0"/>
          <w:sz w:val="24"/>
        </w:rPr>
        <w:t>• Hardship withdrawals that meet IRC requirements for hardship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Plan loans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loan program</w:t>
      </w:r>
    </w:p>
    <w:p>
      <w:pPr>
        <w:keepNext w:val="0"/>
        <w:spacing w:before="200" w:after="0" w:line="260" w:lineRule="exact"/>
        <w:ind w:left="1440" w:right="0" w:firstLine="0"/>
        <w:jc w:val="both"/>
      </w:pPr>
      <w:r>
        <w:rPr>
          <w:rFonts w:ascii="Times New Roman" w:hAnsi="Times New Roman" w:eastAsia="Times New Roman" w:cs="Times New Roman"/>
          <w:b w:val="0"/>
          <w:sz w:val="24"/>
        </w:rPr>
        <w:t>• Plan distributions on or following termination of employment</w:t>
      </w:r>
    </w:p>
    <w:p>
      <w:pPr>
        <w:keepNext w:val="0"/>
        <w:spacing w:before="200" w:after="0" w:line="260" w:lineRule="exact"/>
        <w:ind w:left="1440" w:right="0" w:firstLine="0"/>
        <w:jc w:val="both"/>
      </w:pPr>
      <w:r>
        <w:rPr>
          <w:rFonts w:ascii="Times New Roman" w:hAnsi="Times New Roman" w:eastAsia="Times New Roman" w:cs="Times New Roman"/>
          <w:b w:val="0"/>
          <w:sz w:val="24"/>
        </w:rPr>
        <w:t>• Required distributions beginning at age 72 (or 70½ for individuals who attained such age by December 31, 2019, and otherwise for plans not amended to reflect the increased age for required distributions)</w:t>
      </w:r>
    </w:p>
    <w:p>
      <w:pPr>
        <w:keepNext w:val="0"/>
        <w:spacing w:before="200" w:after="0" w:line="260" w:lineRule="exact"/>
        <w:ind w:left="1440" w:right="0" w:firstLine="0"/>
        <w:jc w:val="both"/>
      </w:pPr>
      <w:r>
        <w:rPr>
          <w:rFonts w:ascii="Times New Roman" w:hAnsi="Times New Roman" w:eastAsia="Times New Roman" w:cs="Times New Roman"/>
          <w:b w:val="0"/>
          <w:sz w:val="24"/>
        </w:rPr>
        <w:t>• Qualified Domestic Relations Orders</w:t>
      </w:r>
    </w:p>
    <w:p>
      <w:pPr>
        <w:keepNext w:val="0"/>
        <w:spacing w:before="200" w:after="0" w:line="260" w:lineRule="exact"/>
        <w:ind w:left="1080" w:right="0" w:firstLine="0"/>
        <w:jc w:val="both"/>
      </w:pPr>
      <w:r>
        <w:rPr>
          <w:rFonts w:ascii="Times New Roman" w:hAnsi="Times New Roman" w:eastAsia="Times New Roman" w:cs="Times New Roman"/>
          <w:b w:val="0"/>
          <w:sz w:val="24"/>
        </w:rPr>
        <w:t>Each of these issues is addressed below.</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Participant-directed Investments.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Plan allows eligible employees (and former employees) to made by the plan sponsor] are invested, among available options. These options are [describe or set forth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attachment the plan's investment options; e.g. various mutual fund investments sponsored by X mutual fund provider]. As plan sponsor you [or the investment committee that has been designated] should periodically review the performance and continued suitability of these investments. There may be occasions that eligible employees fail to select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The plan has designated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investment for these occasions called [describe default investment]. This default investment complies with ERISA rules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default investment alternative (QDIA) (meaning that it will be treated as having been selected at the employee's direction). To continue to treat the investment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QDIA you or the plan's third party administrator must deliver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initial and annual notice to participants communicating use of the QDIA]. Delivering the notice will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integral part of initial enrollment and is equally important for newly-eligible employees following initial enrollment.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Hardship Distributions.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Before tax [and Roth contributions] in 401(k) plans are subject to tax rules that generally prohibit distributions of those moneys and their accumulated earnings sooner than termination of employment, death, disability, or hardship. [Employer contributions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safe harbor 401(k) plan, like the plan, are subject to the same restrictions.] In addition, the Plan permits withdrawals in the event of financial hardship. To be eligible, employees will need to establish that the in-service distribution from their account satisfies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two-pronged test: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eligible employee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immediate and heavy financial need –and–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distribution is limited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necessary to satisfy that financial need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You will need to establish rules and procedures to see that the process is established and administered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nondiscriminatory manner. Records will need to be maintained that the hardship was established although you can rely on IRS safe harbors that make it easier to comply. Both requirements are often handled by the third-party recordkeeper more often than using internal human resources staff. Plus, third party recordkeepers are often able to handle requests and distributions via their established plan web portal.</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Plan Loans.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Making plan loans available to active (and sometimes, former) employees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401(k) plan feature. The Plan includes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loan program. To meet both ERISA and IRC requirements, you'll need to adhere to the program requirements to assure that participant loans are administered, repayments particularly,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assuring that they are loans, and not distributions. Plan loan programs, somewhat like plan hardship distributions, are often handled by the third-party recordkeeper, and occasionally by internal human resources staff. And, here, too, third party recordkeepers are often able to handle requests and distributions via their established plan web portals. Plan loans require more administration than hardship distributions since loan repayments, with interest, are typically made as frequently as payroll is processed, or at least once monthly.</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on Termination of Employment.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401(k) plan typically permit distributions commencing on termination of employment. This contrasts with defined benefit plans which, aside from distribution of small amounts, delay distribution until the participant attains normal retirement. 401(k) plans, like other defined contribution plans, must permit departing employees who receive "eligible rollover distributions" to rollover taxable and nontaxable funds from the former employee's plan account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retirement arrangement (IRA)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accepting defined contribution plan of another employer. These are called direct rollovers. The employee can also accept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Distributions are subject to 20% federal income tax withholding (and applicable state withholding). The employee will be taxed on the gross distribution, but can reduce the tax by rolling the net proceeds,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up to the gross distribution, into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IRA or other accepting employer plan within 60 days of the distribution. Third party recordkeepers can administer these distributions as well, and often arrange for ACH or other electronic transfers in addition to paper (check) distribution. Before allowing the distribution the employee will need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notice that explains the distribution options.</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Minimum Distributions.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Some plans allow former employees to maintain their account balances well after termination of employment. Where they do, the plan must be designed and administered to commence distributions, in full or in installments, beginning no later than the April 1 after the year that the employee attains age 72 (or age 70½ if they reached that age by December 31, 2019). The maximum threshold age was increased under the SECURE Act of 2019. Pub. L. No. 116-94, Div. O. § 114.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distribution is not made, the installment distributions must continue each year. Similar rules apply where the employee has died and the plan benefit becomes payable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beneficiary. It's easiest for the plan to force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distribution, whereby the former employee can then transfer the bulk of the distribution (absent the required distribution, which must be taxable) by direct rollover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IRA. Otherwise the plan must meet these minimum distribution rules by distributing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 annually by December 31, which amount is based on the employee's life expectancy or the required distribution period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beneficiary. These distributions assure the IRS that the former employee's plan account won't remain untaxed indefinitely.</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Qualified Domestic Relations Orders.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tax law allows participants to assign,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order, all or part of their plan accounts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spouse or former spouse upon their divorce or legal separation. Do allow this, the plan administrator (or other fiduciary) has to receive and evaluate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domestic relations order to see that it is qualified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QDRO) permitting the plan to legally assign the identified amount to the spouse or former spouse. You may wish to assign this task of evaluating prospective QDROs to human resources personnel with legal counsel providing assistance. The third party administrator may offer QDRO review services. Once the QDRO is approved the recordkeeper must be apprised and will either distribute the amount to the spouse or former spouse or establish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for that individual, depending on the provisions of the particular QDRO.</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Nondiscrimination Testing.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401(k) plans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unique employee benefit plan in that their primary design is to allow employees to save for their own retirement. Employers can incentivize employees to contribute by matching employee contributions (which contributions can be made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pre-tax basis and, if the plan allows, in after-tax Roth contributions that have some tax advantages). [The Plan allows employees to make both before tax and Roth (after-tax) contributions.] The matching contribution can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vesting schedule. One of the administrative requirements of 401(k) plans is that employee contributions (and employer matching contributions) can't skew in favor of highly compensated employees (HCEs), as defined under I.R.C. § 414(q). It generally means employees who during the prior plan year have W-2 wages greater than the statutory limit, adjusted for inflation ($130,000 for 2021 and $135,000 for 2022).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To assure that HCEs don't benefit significantly more from 401(k) plan participation than their non-HCE co-employees, 401(k) plans that are not "safe harbor" plans must satisfy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formulaic test. If the plan fails for any year it may have to return employee contributions to the employees who made them. See I.R.C. §§ 401(k)(3), (m)(2). Failing the test can lead to employee dissatisfaction (in having some of their savings returned to them for the prior plan year). While nondiscrimination testing is not part of the day-to-day plan administration it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important factor in administering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401(k) plan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401(k) safe harbor design has not been adopted).</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Internal Controls.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should implement practices, procedures, and internal controls to monitor plan operations and prevent prohibited transactions that may occur in connection with plan administration. Problems can arise from changes in personnel, procedures, payroll systems, or new service providers such as accountants, attorneys, actuaries or third-party plan administrators. Employers that have experienced any of these changes should give special scrutiny to operational requirements affected by the change.</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Selecting Plan Service Providers.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It's likely that much of the work associated with administering the plan will be performed by outside service providers, in administering plan loans and hardship withdrawals, QDROs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employee's divorce or legal separation, and in delivering (and perhaps preparing) plan communications. Making choices among potential service providers is itself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function and you must exercise due diligence in making your selections.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Role of the Third-Party Administrator and Recordkeeper.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Your in-house staff may have to provide some direction regarding these services but you'll need to rely primarily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administrator and recordkeeper (usually the services are combined) in: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Providing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platform of plan investments</w:t>
      </w:r>
    </w:p>
    <w:p>
      <w:pPr>
        <w:keepNext w:val="0"/>
        <w:spacing w:before="200" w:after="0" w:line="260" w:lineRule="exact"/>
        <w:ind w:left="1800" w:right="0" w:firstLine="0"/>
        <w:jc w:val="both"/>
      </w:pPr>
      <w:r>
        <w:rPr>
          <w:rFonts w:ascii="Times New Roman" w:hAnsi="Times New Roman" w:eastAsia="Times New Roman" w:cs="Times New Roman"/>
          <w:b w:val="0"/>
          <w:sz w:val="24"/>
        </w:rPr>
        <w:t>• Administering participant choices (regarding the percentage or amount of their compensation that is contributed to the plan) and how they shall be invested</w:t>
      </w:r>
    </w:p>
    <w:p>
      <w:pPr>
        <w:keepNext w:val="0"/>
        <w:spacing w:before="200" w:after="0" w:line="260" w:lineRule="exact"/>
        <w:ind w:left="1800" w:right="0" w:firstLine="0"/>
        <w:jc w:val="both"/>
      </w:pPr>
      <w:r>
        <w:rPr>
          <w:rFonts w:ascii="Times New Roman" w:hAnsi="Times New Roman" w:eastAsia="Times New Roman" w:cs="Times New Roman"/>
          <w:b w:val="0"/>
          <w:sz w:val="24"/>
        </w:rPr>
        <w:t>• Calculating and allocating employee and employer contributions, earnings and forfeitures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Providing participants with required notices and communications (like the SPD and communications concerning the plan's investment options) and information about any QDIA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fails to direct how to invest any contribution</w:t>
      </w:r>
    </w:p>
    <w:p>
      <w:pPr>
        <w:keepNext w:val="0"/>
        <w:spacing w:before="200" w:after="0" w:line="260" w:lineRule="exact"/>
        <w:ind w:left="1800" w:right="0" w:firstLine="0"/>
        <w:jc w:val="both"/>
      </w:pPr>
      <w:r>
        <w:rPr>
          <w:rFonts w:ascii="Times New Roman" w:hAnsi="Times New Roman" w:eastAsia="Times New Roman" w:cs="Times New Roman"/>
          <w:b w:val="0"/>
          <w:sz w:val="24"/>
        </w:rPr>
        <w:t>• Performing non-discrimination testing, as required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third party administrator likely will also perform the recordkeeping functions for the plan. Some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recordkeeper's typical responsibilities are to:</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Value investments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daily basis by contribution source</w:t>
      </w:r>
    </w:p>
    <w:p>
      <w:pPr>
        <w:keepNext w:val="0"/>
        <w:spacing w:before="200" w:after="0" w:line="260" w:lineRule="exact"/>
        <w:ind w:left="1800" w:right="0" w:firstLine="0"/>
        <w:jc w:val="both"/>
      </w:pPr>
      <w:r>
        <w:rPr>
          <w:rFonts w:ascii="Times New Roman" w:hAnsi="Times New Roman" w:eastAsia="Times New Roman" w:cs="Times New Roman"/>
          <w:b w:val="0"/>
          <w:sz w:val="24"/>
        </w:rPr>
        <w:t>• Execute employee trades and exchanges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Provide employees with statements and online account access,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web portal –and–</w:t>
      </w:r>
    </w:p>
    <w:p>
      <w:pPr>
        <w:keepNext w:val="0"/>
        <w:spacing w:before="200" w:after="0" w:line="260" w:lineRule="exact"/>
        <w:ind w:left="1800" w:right="0" w:firstLine="0"/>
        <w:jc w:val="both"/>
      </w:pPr>
      <w:r>
        <w:rPr>
          <w:rFonts w:ascii="Times New Roman" w:hAnsi="Times New Roman" w:eastAsia="Times New Roman" w:cs="Times New Roman"/>
          <w:b w:val="0"/>
          <w:sz w:val="24"/>
        </w:rPr>
        <w:t>• Process distribution checks, including implementing rollovers to other qualified plans or individual retirement accounts [and to the plan].</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Methods of Delivering Plan Services.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Plan sponsors (or plan fiduciaries) may choose their third party administrators and recordkeepers based on convenience, selecting one entity for all services. Alternatively, they may select different providers. Similarly, they may select one menu of investment options from the same fund family or may choose several fund families as available plan investments. This often is determined by the cost of services and the amount of plan assets available for investment.</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Bundled Model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bundled model for retirement plans is where one service provider provides all investment, recordkeeping, and administrative services. The plan's operations are outsourced to just one vendor. Generally, flexibility and choice are not allowed, i.e., the plan sponsor does not have the option to use mutual funds or group annuity contracts not managed by the particular service provider and its affiliates. The investments are instead the proprietary funds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of the third party administrator or recordkeeper. This model provides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streamlined one-stop-shop.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 provider is able to offset recordkeeping and administrative costs directly from investment management fees, which is called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revenue-sharing arrangement.</w:t>
      </w:r>
    </w:p>
    <w:p>
      <w:pPr>
        <w:keepNext w:val="0"/>
        <w:spacing w:before="120" w:after="0" w:line="260" w:lineRule="exact"/>
        <w:ind w:left="144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Unbundled Model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unbundled model, the employer has more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open-architecture solution to finding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recordkeeper and third party administrator that may be separate from the family of mutual funds selected for participant investment. In fact, the mutual funds (or group annuity products) can belong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multi-fund family.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brokerage window account may also be provided. You may choose the default investment from one fund family and still other participant investments, varying in risk,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fund family. The unbundled model is more complex and more prevalent among larger plans with the resources and economic leverage to justify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Independent consultants and legal counsel are usually hired to assist in selecting and managing these customized plans.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Role of the Investment Adviser.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You may wish to use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adviser to assist plan fiduciaries in selecting and evaluating investment alternatives (like alternative platform providers). Unlike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ERISA plan's investment manager,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adviser does not have the authority to invest plan assets but simply provides investment advice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fiduciary, participant, or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Role of the Accountant and Auditor.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ERISA requires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auditor prepare and review the financial statements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if it has more than 100 participants. These financial statements will be attached to the annual Form 5500 filing for the plan. The auditor is required to provide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auditor's opinion and footnote disclosures to the financial statements. While you may wish to choose [name of sponsor's accounting firm] the same accounting firm to review plan financials as you use for the plan sponsor's business, discuss the matter with your current accountant. For independence reasons, the accountant may require you to choose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firm to review plan financials.</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Role of the Attorney.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Plan fiduciaries often seek legal counsel for matters of plan design, operation, regulatory compliance, investment, dispute resolution, litigation, and plan termination. External or internal attorneys (in-house counsel) may be consulted, as well. On some occasions counsel (whether inside or external) will be offering advice to the plan sponsor. At other times counsel may be asked to offer advice to the employer (or other plan fiduciary like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committee) in its role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fiduciary. It's best to keep these communications separate. Discussions with individuals who are plan fiduciaries, when speaking to them about plan matters, generally cannot be protected by attorney-client privilege.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