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Advance Notice Bylaw Provisions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SECTION [  ]. Nominations and Proposals for Annual Meetings of Stockholders.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Nominations of persons for election to the board of directors of the Corporation (the “</w:t>
      </w:r>
      <w:r>
        <w:rPr>
          <w:rFonts w:ascii="Times New Roman" w:hAnsi="Times New Roman" w:eastAsia="Times New Roman" w:cs="Times New Roman"/>
          <w:b/>
          <w:sz w:val="24"/>
        </w:rPr>
        <w:t>Board of Directors</w:t>
      </w:r>
      <w:r>
        <w:rPr>
          <w:rFonts w:ascii="Times New Roman" w:hAnsi="Times New Roman" w:eastAsia="Times New Roman" w:cs="Times New Roman"/>
          <w:b w:val="0"/>
          <w:sz w:val="24"/>
        </w:rPr>
        <w:t xml:space="preserve">”) and the proposal of business to be considered by the stockholders may be made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of stockholders (i) pursuant to the Corporation's notice of meeting, (ii) by or at the direction of the Board of Directors, or (iii) by any stockholder of the Corporation who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of record at the time of giving of the notice provided for in this Section [  ] and at the time of the annual meeting, (B) is entitled to vote with respect to such matter at the meeting, and (C) complies with the notice procedures set forth in this Section [  ]. At any annual meeting of stockholders, the presiding officer of such meeting may announce the nominations and other business to be considered which are set forth in the Corporation's notice of meeting and proxy statement and, by virtue thereof, such nominations and other business so announced shall be properly brought before such meeting and may be considered and voted upon by the stockholders of the Corporation entitled to vote thereat without further requirement of nomination, motion or second.</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For nominations or other business to be properly brought before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 pursuant to clause (iii) of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Section [  ], the stockholder making such nominations or proposing such other business must theretofore have given timely notice thereof in writing to the Secretary of the Corporation and such other business must otherwise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 matter for stockholder action. To be timely,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notice shall be delivered to the Secretary at the principal executive offices of the Corporation not later than the close of business on the [60th] day nor earlier than the close of business on the [60th/90th] day prior to the first anniversary of the preceding year's annual meeting; provided, however, that in the event that the date of the annual meeting is more than [30] days before [or more than [60] days] after such anniversary date, [notice by the stockholder to be timely must be so delivered not earlier than the close of business on the [90]th day prior to such annual meeting and not later than the close of business on the later of the [60]th day prior to such annual meeting or[ [the [10th] day following the day on which public announcement of the date of such meeting is first made by the Corporation] . In no event shall the public announcement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adjournment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commence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time period for the giving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notice as described above. To be in proper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notice to the Secretary must: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set forth, as to the stockholder giving the notice and the beneficial owner, if any, on whose behalf the nomination or proposal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name and address of such stockholder, as they appear on the Corporation's books, and of such beneficial owner, if any, (B) the class or series and number of shares of the Corporation that are, directly or indirectly, owned beneficially and of record by such stockholder and such beneficial owner, if any, as of the date of such notice (which information shall be supplemented by such stockholder and beneficial owner not later than 10 days after the record date for the meeting to disclose such ownership as of the record date), and (C) any other information relating to such stockholder and beneficial owner, if any, that would be required to be disclosed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statement or other filings required to be made in connection with solicitations of proxies for, as applicable, the proposal and/or for the election of directors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contested election pursuant to Section 14 of the Securities Exchange Act of 1934, as amended, and the rules and regulations promulgated thereunder (the “</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the notice relates to any business other than the nomination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that the stockholder proposes to bring before the meeting, set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business desired to be brought before the meeting, the reasons for conducting such business at the meeting and any material interest of such stockholder and beneficial owner, if any, in such business,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all agreements, arrangements and understandings between such stockholder and beneficial owner and any other person or persons (including their names) in connection with the proposal of such business by such stockholder;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set forth, as to each person, if any, whom the stockholder proposes to nominate for election or reelection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all information relating to such person that would be required to be disclosed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proxy statement or other filings required to be made in connection with solicitations of proxies for election of directors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contested election pursuant to Section 14 of the Exchange Act (including such person's written consent to being named in the proxy statement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nominee and to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if elected)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all direct and indirect compensation and other monetary agreements, arrangements and understandings during the past three years, and any other relationships, between or among such stockholder and beneficial owner, if any, and their respective affiliates and associates, or others acting in concert therewith, on the one hand, and each proposed nominee, and his or her respective affiliates and associates, or others acting in concert therewith, on the other hand, including, without limitation all information that would be required to be disclosed pursuant to Rule 404 promulgated under Regulation S-K if the stockholder making the nomination and any beneficial owner on whose behalf the nomination is made, if any, or any affiliate or associate thereof or person acting in concert therewith, were the “registrant” for purposes of such rule and the nominee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executive officer of such registrant; and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with respect to each nominee for election or re-election to the Board of Directors, [include the completed and signed questionnaire, representation and agreement required by Section [refer to the optional clause of this Article [   ] below]. The Corporation may require any proposed nominee to furnish such other information as may reasonably be required by the Corporation to determine the eligibility of such proposed nominee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director of the Corporation or that could be material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stockholder's understanding of the independence, or lack thereof, of such nominee.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Notwithstanding anything in the second sentence of </w:t>
      </w:r>
      <w:r>
        <w:rPr>
          <w:rFonts w:ascii="Times New Roman" w:hAnsi="Times New Roman" w:eastAsia="Times New Roman" w:cs="Times New Roman"/>
          <w:b w:val="0"/>
          <w:sz w:val="24"/>
        </w:rPr>
        <w:t xml:space="preserve">paragraph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this Section [  ] to the contrary, in the event that the number of directors to be elected to the Board of Directors of the Corporation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is increased, whether by increase in the size of the Board of Directors, or by any vacancy in the Board of Directors to be filled at such annual meeting, and there is no public announcement by the Corporation naming all of the nominees for directors or specifying the size of the increased Board of Directors at least [60] days prior to the first anniversary of the preceding year's annual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stockholder's notice required by this Section [  ] shall also be considered timely, but only with respect to nominees for any such vacant positions and for any new positions created by such increase, if it shall be delivered to the Secretary at the principal executive offices of the Corporation not later than the close of business on the 10th day following the day on which such public announcement is first made by the Corporation.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