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Agent Retention Motion</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UNITED STATES BANKRUPTCY COURT</w:t>
      </w:r>
    </w:p>
    <w:p>
      <w:pPr>
        <w:keepNext w:val="0"/>
        <w:spacing w:before="200" w:after="0" w:line="260" w:lineRule="exact"/>
        <w:ind w:left="360" w:right="0" w:firstLine="0"/>
        <w:jc w:val="both"/>
      </w:pPr>
      <w:r>
        <w:rPr>
          <w:rFonts w:ascii="Times New Roman" w:hAnsi="Times New Roman" w:eastAsia="Times New Roman" w:cs="Times New Roman"/>
          <w:b/>
          <w:sz w:val="24"/>
        </w:rPr>
        <w:t>FOR THE [DISTRICT]</w:t>
      </w:r>
    </w:p>
    <w:p>
      <w:pPr>
        <w:keepNext w:val="0"/>
        <w:spacing w:before="200" w:after="0" w:line="260" w:lineRule="exact"/>
        <w:ind w:left="360" w:right="0" w:firstLine="0"/>
        <w:jc w:val="both"/>
      </w:pPr>
      <w:r>
        <w:rPr>
          <w:rFonts w:ascii="Times New Roman" w:hAnsi="Times New Roman" w:eastAsia="Times New Roman" w:cs="Times New Roman"/>
          <w:b/>
          <w:sz w:val="24"/>
        </w:rPr>
        <w:t xml:space="preserve">DEBTORS’ APPLICATION FOR ENTRY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AUTHORIZING THE EMPLOYMENT AND RETENTION OF [FIRM] AS NOTICE, CLAIMS AND SOLICITATION AGENT NUNC PRO TUNC TO THE PETITION DATE, PURSUANT TO SECTION 156(c) OF THE JUDICIAL CODE, SECTION 503 OF THE BANKRUPTCY CODE, RULE 2002(f) OF THE FEDERAL RULES OF BANKRUPTCY PROCEDURE AND [APPLICABLE LOCAL RULE]</w:t>
      </w:r>
    </w:p>
    <w:p>
      <w:pPr>
        <w:keepNext w:val="0"/>
        <w:spacing w:before="200" w:after="0" w:line="260" w:lineRule="exact"/>
        <w:ind w:left="720" w:right="0" w:firstLine="0"/>
        <w:jc w:val="both"/>
      </w:pPr>
      <w:r>
        <w:rPr>
          <w:rFonts w:ascii="Times New Roman" w:hAnsi="Times New Roman" w:eastAsia="Times New Roman" w:cs="Times New Roman"/>
          <w:b w:val="0"/>
          <w:sz w:val="24"/>
        </w:rPr>
        <w:t>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hereby file this application (the “</w:t>
      </w:r>
      <w:r>
        <w:rPr>
          <w:rFonts w:ascii="Times New Roman" w:hAnsi="Times New Roman" w:eastAsia="Times New Roman" w:cs="Times New Roman"/>
          <w:b w:val="0"/>
          <w:sz w:val="24"/>
        </w:rPr>
        <w:t>Application</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authorizing the Debtors’ employment and retention of [Firm] (“</w:t>
      </w:r>
      <w:r>
        <w:rPr>
          <w:rFonts w:ascii="Times New Roman" w:hAnsi="Times New Roman" w:eastAsia="Times New Roman" w:cs="Times New Roman"/>
          <w:b w:val="0"/>
          <w:sz w:val="24"/>
        </w:rPr>
        <w:t>Agent</w:t>
      </w:r>
      <w:r>
        <w:rPr>
          <w:rFonts w:ascii="Times New Roman" w:hAnsi="Times New Roman" w:eastAsia="Times New Roman" w:cs="Times New Roman"/>
          <w:b w:val="0"/>
          <w:sz w:val="24"/>
        </w:rPr>
        <w:t>”) as notice, claims and solicitation agent in connection with the Debtors’ chapter 11 cases. In support of this Application, the Debtors reply upon the Affidavit of [Agent] (the “</w:t>
      </w:r>
      <w:r>
        <w:rPr>
          <w:rFonts w:ascii="Times New Roman" w:hAnsi="Times New Roman" w:eastAsia="Times New Roman" w:cs="Times New Roman"/>
          <w:b w:val="0"/>
          <w:sz w:val="24"/>
        </w:rPr>
        <w:t>Agent Affidavit</w:t>
      </w:r>
      <w:r>
        <w:rPr>
          <w:rFonts w:ascii="Times New Roman" w:hAnsi="Times New Roman" w:eastAsia="Times New Roman" w:cs="Times New Roman"/>
          <w:b w:val="0"/>
          <w:sz w:val="24"/>
        </w:rPr>
        <w:t>”), which is annexed hereto as Exhibit B, and the [Company First Day Affidavit] (the “</w:t>
      </w:r>
      <w:r>
        <w:rPr>
          <w:rFonts w:ascii="Times New Roman" w:hAnsi="Times New Roman" w:eastAsia="Times New Roman" w:cs="Times New Roman"/>
          <w:b w:val="0"/>
          <w:sz w:val="24"/>
        </w:rPr>
        <w:t>First Day Affidavit</w:t>
      </w:r>
      <w:r>
        <w:rPr>
          <w:rFonts w:ascii="Times New Roman" w:hAnsi="Times New Roman" w:eastAsia="Times New Roman" w:cs="Times New Roman"/>
          <w:b w:val="0"/>
          <w:sz w:val="24"/>
        </w:rPr>
        <w:t>”), and respectfully represent as follows:</w:t>
      </w:r>
    </w:p>
    <w:p>
      <w:pPr>
        <w:keepNext w:val="0"/>
        <w:spacing w:before="120" w:after="0" w:line="260" w:lineRule="exact"/>
        <w:ind w:left="1080" w:right="0" w:firstLine="0"/>
        <w:jc w:val="left"/>
      </w:pPr>
      <w:r>
        <w:rPr>
          <w:rFonts w:ascii="Times New Roman" w:hAnsi="Times New Roman" w:eastAsia="Times New Roman" w:cs="Times New Roman"/>
          <w:b/>
          <w:sz w:val="24"/>
        </w:rPr>
        <w:t>CASE BACKGROUND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2012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xml:space="preserve">”), each of the Debtors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for relief with the Court under chapter 11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1108 of the Bankruptcy Code. No request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examiner has been made in these chapter 11 cases, and no committees have been appointed or designated. Concurrently with the filing of this Application, the Debtors have sought procedural consolidation and joint administration of these chapter 11 cases.</w:t>
      </w:r>
    </w:p>
    <w:p>
      <w:pPr>
        <w:keepNext w:val="0"/>
        <w:spacing w:before="120" w:after="0" w:line="260" w:lineRule="exact"/>
        <w:ind w:left="1080" w:right="0" w:firstLine="0"/>
        <w:jc w:val="left"/>
      </w:pP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over this matter pursuant to 28 U.S.C. §§ 157 and 1334. This matter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within the meaning of 28 U.S.C. § 157(b)(2). Venue of this proceeding and this Application is proper under 28 U.S.C. §§ 1408 and 1409. The statutory bases for the relief requested herein are section 156(c) of title 28 of the United States Code, section 503(b) of the Bankruptcy Code, Rule 2002(f) of the Federal Rules of Bankruptcy Procedure and [local rules, if applicable] (the “</w:t>
      </w:r>
      <w:r>
        <w:rPr>
          <w:rFonts w:ascii="Times New Roman" w:hAnsi="Times New Roman" w:eastAsia="Times New Roman" w:cs="Times New Roman"/>
          <w:b w:val="0"/>
          <w:sz w:val="24"/>
        </w:rPr>
        <w:t>Local Bankruptcy Rules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this Application, the Debtors request the issuance and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approving the retention and employment of Agent as the official notice, claims and solicitation agent. The Agent seeks to assume full responsibility for the distribution of notices and proofs of claim, and maintenance, processing and docketing of proofs of claim filed in the chapter 11 cases, and to provide such additional services as are described herein below, and subject to that certain agreement for services, dated as of [date], by and between Agent and the Debtors (together with all amendments, modifications, renewals thereof and all documents ancillary thereto or otherwise entered into in connection therewith, the “</w:t>
      </w:r>
      <w:r>
        <w:rPr>
          <w:rFonts w:ascii="Times New Roman" w:hAnsi="Times New Roman" w:eastAsia="Times New Roman" w:cs="Times New Roman"/>
          <w:b w:val="0"/>
          <w:sz w:val="24"/>
        </w:rPr>
        <w:t>Services Agreement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annexed hereto as </w:t>
      </w: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and incorporated by reference herein.</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Agent’s Qualifications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described in the First Day Affidavit, the Debtors have thousands of potential creditors. In addition to these creditors, there are thousands of other parties in interest in the Debtors’ chapter 11 cases. Pursuant to [local rule], in all cases with more than [200] creditors,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is required to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and/or claims clerk to perform the functions of the Clerk of the United States Bankruptcy Court for [District] (the “</w:t>
      </w:r>
      <w:r>
        <w:rPr>
          <w:rFonts w:ascii="Times New Roman" w:hAnsi="Times New Roman" w:eastAsia="Times New Roman" w:cs="Times New Roman"/>
          <w:b w:val="0"/>
          <w:sz w:val="24"/>
        </w:rPr>
        <w:t>Clerk’s Office</w:t>
      </w:r>
      <w:r>
        <w:rPr>
          <w:rFonts w:ascii="Times New Roman" w:hAnsi="Times New Roman" w:eastAsia="Times New Roman" w:cs="Times New Roman"/>
          <w:b w:val="0"/>
          <w:sz w:val="24"/>
        </w:rPr>
        <w:t>”) to relieve the Clerk’s Office of the such tasks, especially in light of the sheer magnitude of the Debtors’ creditor body and the tight timelines that frequently arise in chapter 11 cases.</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Accordingly, the Debtors propose to engage Agent to act as the Debtors’ notice, claims and solicitation agent. This retention is the most effective and efficient manner of noticing the thousands of creditors and parties in interest of the filing of the chapter 11 cases and other developments in the chapter 11 cases. In that capacity, Agent will transmit, receive, docket and maintain proofs of claim filed in connection with the chapter 11 cases.</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Agent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administrator that specializes in providing comprehensive chapter 11 administrative services including noticing, claims processing, balloting and other related services critical to the effective administration of chapter 11 cases. Indeed, Agent developed efficient and cost-effective methods to handle properly the voluminous mailings associated with the noticing, claims processing, solicitation and balloting portions of chapter 11 cases to ensure the orderly and fair treatment of creditors, equity security holders and all parties in interest. Further, Agent will work with the Clerk’s Office to ensure that such methodology conforms with all of the Court’s procedures, the Local Rules and any orders of this Court.</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Agent has substantial experience in matters of this size and complexity and has acted as the official notice, claims and solicitation agent in many large bankruptcy cases in this District and other districts nationwide. </w:t>
      </w:r>
      <w:r>
        <w:rPr>
          <w:rFonts w:ascii="Times New Roman" w:hAnsi="Times New Roman" w:eastAsia="Times New Roman" w:cs="Times New Roman"/>
          <w:b w:val="0"/>
          <w:sz w:val="24"/>
        </w:rPr>
        <w:t>See e.g.</w:t>
      </w:r>
      <w:r>
        <w:rPr>
          <w:rFonts w:ascii="Times New Roman" w:hAnsi="Times New Roman" w:eastAsia="Times New Roman" w:cs="Times New Roman"/>
          <w:b w:val="0"/>
          <w:sz w:val="24"/>
        </w:rPr>
        <w:t>, [examples].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 to be Provided</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Specifically, the Debtors seek to engage Agent to provide certain noticing, claims processing and balloting administration services including, without limitation: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Preparing and serving required notices in the chapter 11 cases, including:</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notice of the commencement of the chapter 11 cases and the initial meeting of creditors under Bankruptcy Code section 341(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claims bar date;</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notices of objections to claims and objections to transfers of claims;</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notices of hearings on motions filed by the Office of the United States Trustee for the [applicable district] (the “</w:t>
      </w:r>
      <w:r>
        <w:rPr>
          <w:rFonts w:ascii="Times New Roman" w:hAnsi="Times New Roman" w:eastAsia="Times New Roman" w:cs="Times New Roman"/>
          <w:b w:val="0"/>
          <w:sz w:val="24"/>
        </w:rPr>
        <w:t>U.S. Trustee</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notices of transfers of claims;</w:t>
      </w:r>
    </w:p>
    <w:p>
      <w:pPr>
        <w:keepNext w:val="0"/>
        <w:spacing w:before="120" w:after="0" w:line="260" w:lineRule="exact"/>
        <w:ind w:left="2520" w:right="0" w:firstLine="0"/>
        <w:jc w:val="left"/>
      </w:pPr>
      <w:r>
        <w:rPr>
          <w:rFonts w:ascii="Times New Roman" w:hAnsi="Times New Roman" w:eastAsia="Times New Roman" w:cs="Times New Roman"/>
          <w:b w:val="0"/>
          <w:sz w:val="24"/>
        </w:rPr>
        <w:t>(vi)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notices of any hearings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statement and confirmation of the Debtors’ plan or plans of reorganization; and</w:t>
      </w:r>
    </w:p>
    <w:p>
      <w:pPr>
        <w:keepNext w:val="0"/>
        <w:spacing w:before="120" w:after="0" w:line="260" w:lineRule="exact"/>
        <w:ind w:left="2520" w:right="0" w:firstLine="0"/>
        <w:jc w:val="left"/>
      </w:pPr>
      <w:r>
        <w:rPr>
          <w:rFonts w:ascii="Times New Roman" w:hAnsi="Times New Roman" w:eastAsia="Times New Roman" w:cs="Times New Roman"/>
          <w:b w:val="0"/>
          <w:sz w:val="24"/>
        </w:rPr>
        <w:t>(vii)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such other miscellaneous notices as the Debtors or Court may deem necessary or appropriate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administration of the chapter 11 cases.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Within seven days after the mailing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notice, filing with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served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service attached indicating the name and complete address of each party served.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Receiving, examining, and maintaining copies of all proofs of claim and proofs of interest filed in the chapter 11 cases.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Maintaining official claims registers in the chapter 11 cases by docketing all proofs of claim and proofs of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claims database that includes the following information for each such claim or interest asserted:</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name and address of the claimant or interest holder and any agent thereof, if the proof of claim or proof of interest was filed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date the proof of claim or proof of interest was received by Agent and/or the Court;</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claim number assigned to the proof of claim or proof of interest;</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asserted amount and classification of the claim; and</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applicable Debtor against which the claim or interest is asserted.</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Recording all transfers of claims pursuant to Bankruptcy Rule 3001(e).</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Revising the creditor matrix after the objection period expires.</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Recording any order entered by the Court which may affect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by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notation on the claims register.</w:t>
      </w:r>
    </w:p>
    <w:p>
      <w:pPr>
        <w:keepNext w:val="0"/>
        <w:spacing w:before="120" w:after="0" w:line="260" w:lineRule="exact"/>
        <w:ind w:left="2160" w:right="0" w:firstLine="0"/>
        <w:jc w:val="left"/>
      </w:pPr>
      <w:r>
        <w:rPr>
          <w:rFonts w:ascii="Times New Roman" w:hAnsi="Times New Roman" w:eastAsia="Times New Roman" w:cs="Times New Roman"/>
          <w:b w:val="0"/>
          <w:sz w:val="24"/>
        </w:rPr>
        <w:t>(h)</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Monitoring the Court’s docket for any claims related pleading filed and making necessary notations on the claims register.</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claims register for each debtor if the chapter 11 cases are jointly administered.</w:t>
      </w:r>
    </w:p>
    <w:p>
      <w:pPr>
        <w:keepNext w:val="0"/>
        <w:spacing w:before="120" w:after="0" w:line="260" w:lineRule="exact"/>
        <w:ind w:left="2160" w:right="0" w:firstLine="0"/>
        <w:jc w:val="left"/>
      </w:pPr>
      <w:r>
        <w:rPr>
          <w:rFonts w:ascii="Times New Roman" w:hAnsi="Times New Roman" w:eastAsia="Times New Roman" w:cs="Times New Roman"/>
          <w:b w:val="0"/>
          <w:sz w:val="24"/>
        </w:rPr>
        <w:t>(j)</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quarterly updated claims register with the Court in alphabetical and numerical order. If there was no claims activity,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no claim activity may be filed.</w:t>
      </w:r>
    </w:p>
    <w:p>
      <w:pPr>
        <w:keepNext w:val="0"/>
        <w:spacing w:before="120" w:after="0" w:line="260" w:lineRule="exact"/>
        <w:ind w:left="2160" w:right="0" w:firstLine="0"/>
        <w:jc w:val="left"/>
      </w:pPr>
      <w:r>
        <w:rPr>
          <w:rFonts w:ascii="Times New Roman" w:hAnsi="Times New Roman" w:eastAsia="Times New Roman" w:cs="Times New Roman"/>
          <w:b w:val="0"/>
          <w:sz w:val="24"/>
        </w:rPr>
        <w:t>(k)</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up-to-date mailing list of all creditors and all entities who have filed proofs of claim or proofs of interest and/or request for notices in the case and providing such list to the Court or any interested party upon request (within 48 hours).</w:t>
      </w:r>
    </w:p>
    <w:p>
      <w:pPr>
        <w:keepNext w:val="0"/>
        <w:spacing w:before="120" w:after="0" w:line="260" w:lineRule="exact"/>
        <w:ind w:left="2160" w:right="0" w:firstLine="0"/>
        <w:jc w:val="left"/>
      </w:pPr>
      <w:r>
        <w:rPr>
          <w:rFonts w:ascii="Times New Roman" w:hAnsi="Times New Roman" w:eastAsia="Times New Roman" w:cs="Times New Roman"/>
          <w:b w:val="0"/>
          <w:sz w:val="24"/>
        </w:rPr>
        <w:t>(l)</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Providing access to the public for examination of claims and the claims register at no charge.</w:t>
      </w:r>
    </w:p>
    <w:p>
      <w:pPr>
        <w:keepNext w:val="0"/>
        <w:spacing w:before="120" w:after="0" w:line="260" w:lineRule="exact"/>
        <w:ind w:left="2160" w:right="0" w:firstLine="0"/>
        <w:jc w:val="left"/>
      </w:pPr>
      <w:r>
        <w:rPr>
          <w:rFonts w:ascii="Times New Roman" w:hAnsi="Times New Roman" w:eastAsia="Times New Roman" w:cs="Times New Roman"/>
          <w:b w:val="0"/>
          <w:sz w:val="24"/>
        </w:rPr>
        <w:t>(m)</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Forwarding all claims,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updated claims register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updated mailing list to the Court within 10 days of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converting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or within 30 days of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decree. The claims register and mailing list will be provided in both paper and on disc and in alphabetical and numerical order. The mailing list disc will be in .txt format.</w:t>
      </w:r>
    </w:p>
    <w:p>
      <w:pPr>
        <w:keepNext w:val="0"/>
        <w:spacing w:before="120" w:after="0" w:line="260" w:lineRule="exact"/>
        <w:ind w:left="2160" w:right="0" w:firstLine="0"/>
        <w:jc w:val="left"/>
      </w:pPr>
      <w:r>
        <w:rPr>
          <w:rFonts w:ascii="Times New Roman" w:hAnsi="Times New Roman" w:eastAsia="Times New Roman" w:cs="Times New Roman"/>
          <w:b w:val="0"/>
          <w:sz w:val="24"/>
        </w:rPr>
        <w:t>(n)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Implementing necessary security measures to ensure the completeness and integrity of the claims registers.</w:t>
      </w:r>
    </w:p>
    <w:p>
      <w:pPr>
        <w:keepNext w:val="0"/>
        <w:spacing w:before="120" w:after="0" w:line="260" w:lineRule="exact"/>
        <w:ind w:left="2160" w:right="0" w:firstLine="0"/>
        <w:jc w:val="left"/>
      </w:pPr>
      <w:r>
        <w:rPr>
          <w:rFonts w:ascii="Times New Roman" w:hAnsi="Times New Roman" w:eastAsia="Times New Roman" w:cs="Times New Roman"/>
          <w:b w:val="0"/>
          <w:sz w:val="24"/>
        </w:rPr>
        <w:t>(o)</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Complying with applicable federal, state, municipal, and local statutes, ordinances, rules, regulations, orders and other requirements.</w:t>
      </w:r>
    </w:p>
    <w:p>
      <w:pPr>
        <w:keepNext w:val="0"/>
        <w:spacing w:before="120" w:after="0" w:line="260" w:lineRule="exact"/>
        <w:ind w:left="2160" w:right="0" w:firstLine="0"/>
        <w:jc w:val="left"/>
      </w:pPr>
      <w:r>
        <w:rPr>
          <w:rFonts w:ascii="Times New Roman" w:hAnsi="Times New Roman" w:eastAsia="Times New Roman" w:cs="Times New Roman"/>
          <w:b w:val="0"/>
          <w:sz w:val="24"/>
        </w:rPr>
        <w:t>(p)</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Providing temporary employees to process claims as necessary.</w:t>
      </w:r>
    </w:p>
    <w:p>
      <w:pPr>
        <w:keepNext w:val="0"/>
        <w:spacing w:before="120" w:after="0" w:line="260" w:lineRule="exact"/>
        <w:ind w:left="2160" w:right="0" w:firstLine="0"/>
        <w:jc w:val="left"/>
      </w:pPr>
      <w:r>
        <w:rPr>
          <w:rFonts w:ascii="Times New Roman" w:hAnsi="Times New Roman" w:eastAsia="Times New Roman" w:cs="Times New Roman"/>
          <w:b w:val="0"/>
          <w:sz w:val="24"/>
        </w:rPr>
        <w:t>(q)</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Promptly complying with such further conditions and requirements as the Clerk’s Office or the Court may at any time prescribe.</w:t>
      </w:r>
    </w:p>
    <w:p>
      <w:pPr>
        <w:keepNext w:val="0"/>
        <w:spacing w:before="120" w:after="0" w:line="260" w:lineRule="exact"/>
        <w:ind w:left="2160" w:right="0" w:firstLine="0"/>
        <w:jc w:val="left"/>
      </w:pPr>
      <w:r>
        <w:rPr>
          <w:rFonts w:ascii="Times New Roman" w:hAnsi="Times New Roman" w:eastAsia="Times New Roman" w:cs="Times New Roman"/>
          <w:b w:val="0"/>
          <w:sz w:val="24"/>
        </w:rPr>
        <w:t>(r)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Providing such other claims processing, noticing, and administrative services as may be requested from time to time by the Debtors.</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addition to the foregoing, Agent will assist with,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maintaining and updating the master mailing lists of creditors; (b) to the extent necessary, gathering data in conjunction with the preparation of the Debtors’ schedules of assets and liabilities and statements of financial affairs; (c) tracking and administration of claims; and (d) performing other administrative tasks pertaining to the chapter 11 cases, as may be requested by the Debtors or the Clerk’s Office. Agent will follow the notice and claim procedures that conform to the guidelines promulgated by the Clerk of the Court and the Judicial Conference of the United States and as may be entered by the Court’s order. Agent also agreed to provide noticing services in these cases to the U.S. Trustee.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Compensation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fees to be charged by Agent in connection with these chapter 11 cases are set forth in the Services Agreement. The Debtors propose that the cost of Agent’s services be paid from the Debtors’ estates as provided by 28 U.S.C. § 156(c) and section 503(b)(1)(</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The Debtors respectfully submit that Agent’s rates for its services in connection with the notice, claims processing and solicitation services are competitive and comparable to the rates charged by their competitors for similar services, yet fair, reasonable, and customary for these types of engagements.</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Furthermore, the Debtors respectfully submit that the fees and expenses incurred by Agent are administrative in nature and, therefore, should not be subject to the standard fee application procedures for professionals. Specifically, the Debtors request authorization to compensate Agent in accordance with the terms and conditions set forth in the Services Agreement, upon Agent’s submission to the Debtors of invoices summarizing in reasonable detail the services rendered and expenses incurred in connection with services provided by Agent to the Debtors.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Agent’s Disinterestedness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Although the Debtors do not propose to retain Agent under section 327 of the Bankruptcy Code, to the best of Agent’s knowledge, and except as set forth in the Agent Affidavit, Agent neither holds nor represents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materially adverse to the Debtors’ estates nor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connection to the Debtors, their creditors or their related parties with respect to any matter for which Agent will be employed. Agent may have relationships with certain of the Debtors’ creditors as vendors or in connection with cases in which Agent serves or has served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neutral capacity as claims and noticing agent for another chapter 11 debtor.</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best of the Debtors’ knowledge and except as disclosed in the Agent Affidavit, Agent neither holds nor represents any interest materially adverse to the Debtors’ estates in connection with any matter on which it would be employed and that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“disinterested person” within the meaning of section 101(14) of the Bankruptcy Code.</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Agent represents, among other things, that: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 will not consider itself employed by the United States government and shall not seek any compensation from the United States government in its capacity as notice, claims and solicitation agent;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accepting employment in this bankruptcy case, Agent waives any right to receive compensation from the United States government;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its capacity as notice, claims and solicitation agent, Agent will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of the United States and will not act on behalf of the United States; and</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Agent will not employ any past or present employees of the Debtors in connection with its work as notice, claims and solicitation agent.</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Should Agent discover any new relevant facts or relationships bearing on the matters described herein during the period of its retention, Agent will use reasonable efforts to file promptly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supplemental affidavit.</w:t>
      </w:r>
    </w:p>
    <w:p>
      <w:pPr>
        <w:keepNext w:val="0"/>
        <w:spacing w:before="120" w:after="0" w:line="260" w:lineRule="exact"/>
        <w:ind w:left="1080" w:right="0" w:firstLine="0"/>
        <w:jc w:val="left"/>
      </w:pPr>
      <w:r>
        <w:rPr>
          <w:rFonts w:ascii="Times New Roman" w:hAnsi="Times New Roman" w:eastAsia="Times New Roman" w:cs="Times New Roman"/>
          <w:b/>
          <w:sz w:val="24"/>
        </w:rPr>
        <w:t>BASIS FOR RELIEF</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156(c) of title 28 of the United States Code, which governs the staffing and expenses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court, authorizes the Court to use “facilities” or “services” other than the Clerk’s Office for administration of bankruptcy cases. It states, “Any court may utilize facilities or services, either on or off the court’s premises, which pertain to the provision of notices, dockets, calendars, and other administrative information to parties in cases filed under the provisions of title 11, United States Code, where the costs of such facilities or services are paid for out of the assets of the estate and are not charged to the United States. The utilization of such facilities or services shall be subject to such conditions and limitations as the pertinent circuit council may prescribe.” 28 U.S.C. § 156(c).</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[Cite Local Rules if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Accordingly, 28 U.S.C. § 156(c) empowers the Court to utilize outside agents and facilities for notice and claims purposes, provided the Debtors’ estates pay the cost of such services. Additionally, [local rule] requires, in all cases with over 200 creditors (such as these chapter 11 cases),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claims agent on the first day of the case or within seven days thereafter. Therefore, for all of the foregoing reasons, the Debtors believe that the retention of Agent as the notice and claims agent in the chapter 11 cases is in the best interests of the Debtors, their estates and their creditors. Furthermore, the Debtors respectfully submit that the fees and expenses that would be incurred by Agent under the proposed engagement would be administrative in nature and, therefore, should not be subject to standard fee application procedures of professionals.</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Courts in this jurisdiction and other jurisdictions have approved similar relief in other chapter 11 cases. </w:t>
      </w:r>
      <w:r>
        <w:rPr>
          <w:rFonts w:ascii="Times New Roman" w:hAnsi="Times New Roman" w:eastAsia="Times New Roman" w:cs="Times New Roman"/>
          <w:b w:val="0"/>
          <w:sz w:val="24"/>
        </w:rPr>
        <w:t>See, e.g.</w:t>
      </w:r>
      <w:r>
        <w:rPr>
          <w:rFonts w:ascii="Times New Roman" w:hAnsi="Times New Roman" w:eastAsia="Times New Roman" w:cs="Times New Roman"/>
          <w:b w:val="0"/>
          <w:sz w:val="24"/>
        </w:rPr>
        <w:t>, [examples].</w:t>
      </w:r>
    </w:p>
    <w:p>
      <w:pPr>
        <w:keepNext w:val="0"/>
        <w:spacing w:before="120" w:after="0" w:line="260" w:lineRule="exact"/>
        <w:ind w:left="1080" w:right="0" w:firstLine="0"/>
        <w:jc w:val="left"/>
      </w:pPr>
      <w:r>
        <w:rPr>
          <w:rFonts w:ascii="Times New Roman" w:hAnsi="Times New Roman" w:eastAsia="Times New Roman" w:cs="Times New Roman"/>
          <w:b/>
          <w:sz w:val="24"/>
        </w:rPr>
        <w:t>PROCEDURE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trustee, examiner or creditors’ committee has been appointed in these cases. The Debtors have provided notice of this Application by facsimile and, where practicable, email and/or overnight mail to: [relevant notice parties]. The Debtors respectfully submit that no further notice of this Application is required.</w:t>
      </w:r>
    </w:p>
    <w:p>
      <w:pPr>
        <w:keepNext w:val="0"/>
        <w:spacing w:before="120" w:after="0" w:line="260" w:lineRule="exact"/>
        <w:ind w:left="108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WHEREFORE, the Debtors respectfully request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authorizing the Debtors to employ and retain Agent as their notice, claims and solicitation agent effective nunc pro tunc to the Petition Date; (b) approving the terms of the Services Agreement and (c) granting such other and further relief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COMPANY X, INC.</w:t>
      </w:r>
    </w:p>
    <w:p>
      <w:pPr>
        <w:keepNext w:val="0"/>
        <w:spacing w:before="120" w:after="0" w:line="260" w:lineRule="exact"/>
        <w:ind w:left="360" w:right="0" w:firstLine="0"/>
        <w:jc w:val="left"/>
      </w:pPr>
      <w:r>
        <w:rPr>
          <w:rFonts w:ascii="Times New Roman" w:hAnsi="Times New Roman" w:eastAsia="Times New Roman" w:cs="Times New Roman"/>
          <w:b w:val="0"/>
          <w:sz w:val="24"/>
        </w:rPr>
        <w:t>COMPANY Y, INC.</w:t>
      </w:r>
    </w:p>
    <w:p>
      <w:pPr>
        <w:keepNext w:val="0"/>
        <w:spacing w:before="120" w:after="0" w:line="260" w:lineRule="exact"/>
        <w:ind w:left="360" w:right="0" w:firstLine="0"/>
        <w:jc w:val="left"/>
      </w:pPr>
      <w:r>
        <w:rPr>
          <w:rFonts w:ascii="Times New Roman" w:hAnsi="Times New Roman" w:eastAsia="Times New Roman" w:cs="Times New Roman"/>
          <w:b w:val="0"/>
          <w:sz w:val="24"/>
        </w:rPr>
        <w:t>COMPANY Z., INC</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Proposed Order</w:t>
      </w:r>
    </w:p>
    <w:p>
      <w:pPr>
        <w:keepNext w:val="0"/>
        <w:spacing w:before="200" w:after="0" w:line="260" w:lineRule="exact"/>
        <w:ind w:left="720" w:right="0" w:firstLine="0"/>
        <w:jc w:val="both"/>
      </w:pPr>
      <w:r>
        <w:rPr>
          <w:rFonts w:ascii="Times New Roman" w:hAnsi="Times New Roman" w:eastAsia="Times New Roman" w:cs="Times New Roman"/>
          <w:b/>
          <w:sz w:val="24"/>
        </w:rPr>
        <w:t>UNITED STATES BANKRUPTCY COURT</w:t>
      </w:r>
    </w:p>
    <w:p>
      <w:pPr>
        <w:keepNext w:val="0"/>
        <w:spacing w:before="200" w:after="0" w:line="260" w:lineRule="exact"/>
        <w:ind w:left="720" w:right="0" w:firstLine="0"/>
        <w:jc w:val="both"/>
      </w:pPr>
      <w:r>
        <w:rPr>
          <w:rFonts w:ascii="Times New Roman" w:hAnsi="Times New Roman" w:eastAsia="Times New Roman" w:cs="Times New Roman"/>
          <w:b/>
          <w:sz w:val="24"/>
        </w:rPr>
        <w:t>FOR THE [DISTRICT]</w:t>
      </w:r>
    </w:p>
    <w:p>
      <w:pPr>
        <w:keepNext w:val="0"/>
        <w:spacing w:before="200" w:after="0" w:line="260" w:lineRule="exact"/>
        <w:ind w:left="720" w:right="0" w:firstLine="0"/>
        <w:jc w:val="both"/>
      </w:pPr>
      <w:r>
        <w:rPr>
          <w:rFonts w:ascii="Times New Roman" w:hAnsi="Times New Roman" w:eastAsia="Times New Roman" w:cs="Times New Roman"/>
          <w:b/>
          <w:sz w:val="24"/>
        </w:rPr>
        <w:t>ORDER AUTHORIZING THE EMPLOYMENT AND RETENTION OF FIRM AS NOTICE, CLAIMS AND SOLICITATION AGENT NUNC PRO TUNC TO THE PETITION DATE, PURSUANT TO SECTION 156(c) OF THE JUDICIAL CODE, SECTION 503 OF THE BANKRUPTCY CODE, RULE 2002(f) OF THE FEDERAL RULES OF BANKRUPTCY PROCEDURE AND [APPLICABLE LOCAL RULE]</w:t>
      </w:r>
    </w:p>
    <w:p>
      <w:pPr>
        <w:keepNext w:val="0"/>
        <w:spacing w:before="200" w:after="0" w:line="260" w:lineRule="exact"/>
        <w:ind w:left="1080" w:right="0" w:firstLine="0"/>
        <w:jc w:val="both"/>
      </w:pPr>
      <w:r>
        <w:rPr>
          <w:rFonts w:ascii="Times New Roman" w:hAnsi="Times New Roman" w:eastAsia="Times New Roman" w:cs="Times New Roman"/>
          <w:b w:val="0"/>
          <w:sz w:val="24"/>
        </w:rPr>
        <w:t>Upon the application (the “</w:t>
      </w:r>
      <w:r>
        <w:rPr>
          <w:rFonts w:ascii="Times New Roman" w:hAnsi="Times New Roman" w:eastAsia="Times New Roman" w:cs="Times New Roman"/>
          <w:b w:val="0"/>
          <w:sz w:val="24"/>
        </w:rPr>
        <w:t>Application</w:t>
      </w:r>
      <w:r>
        <w:rPr>
          <w:rFonts w:ascii="Times New Roman" w:hAnsi="Times New Roman" w:eastAsia="Times New Roman" w:cs="Times New Roman"/>
          <w:b w:val="0"/>
          <w:sz w:val="24"/>
        </w:rPr>
        <w:t xml:space="preserve">”) of the Debtors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authorizing the employment of [FIRM] (“</w:t>
      </w:r>
      <w:r>
        <w:rPr>
          <w:rFonts w:ascii="Times New Roman" w:hAnsi="Times New Roman" w:eastAsia="Times New Roman" w:cs="Times New Roman"/>
          <w:b w:val="0"/>
          <w:sz w:val="24"/>
        </w:rPr>
        <w:t>Agent</w:t>
      </w:r>
      <w:r>
        <w:rPr>
          <w:rFonts w:ascii="Times New Roman" w:hAnsi="Times New Roman" w:eastAsia="Times New Roman" w:cs="Times New Roman"/>
          <w:b w:val="0"/>
          <w:sz w:val="24"/>
        </w:rPr>
        <w:t xml:space="preserve">”) as the notice, claims and solicitation agent for the Debtors, all as more fully set forth in the Application; pursuant to 28 U.S.C. § 156(c); upon consideration of the Agent Affidavit and the [First Day Affidavit]; and it appearing that the relief requested is in the best interests of the Debtors’ estates, their creditors and all other parties in interest; and due and sufficient notice of the Application having been given; and the Court having jurisdiction to consider the Application and the relief requested therein pursuant to 28 U.S.C. §§ 157 and 1334; and the Court having found that consideration of the Application and the relief requested therein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and the Court having found that venue being proper in the Court pursuant to 28 U.S.C. §§ 1408 and 1409; and the Court having found that based on the representations made in the Agent Affidavit that Agent does not hold or represent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adverse to the Debtors’ estates; and the Court having found that due and proper notice of the Application has been provided and no other or further notice need be provided; and the Court having determined that the legal and factual bases set forth in the Application and at the hearing establish just cause for the relief granted herein; and upon all of the proceedings heard before the Court; and after due deliberation and sufficient cause appearing therefor,</w:t>
      </w:r>
    </w:p>
    <w:p>
      <w:pPr>
        <w:keepNext w:val="0"/>
        <w:spacing w:before="120" w:after="0" w:line="260" w:lineRule="exact"/>
        <w:ind w:left="720" w:right="0" w:firstLine="0"/>
        <w:jc w:val="left"/>
      </w:pPr>
      <w:r>
        <w:rPr>
          <w:rFonts w:ascii="Times New Roman" w:hAnsi="Times New Roman" w:eastAsia="Times New Roman" w:cs="Times New Roman"/>
          <w:b/>
          <w:sz w:val="24"/>
        </w:rPr>
        <w:t>IT IS HEREBY ORDERED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Application is granted.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are authorized to employ and retain Agent as their notice, claims and solicitation agent in accordance with the terms and conditions set forth in the Application and the Services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Agent is authorized to provide noticing and claims processing services as set forth in the Application and the Servicing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terms of the Services Agreement are approved as provided herein subject to the terms of this Order.</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to the services set forth in the Application and the Services Agreement, Agent is authorized to provide other noticing, claims processing, solicitation and administrative services the Debtors may request from time to time; provided, however, that Agent shall not provide disbursement services under any plan prior to the effective date of such plan absent further order of the Court; provided further, that the services to be provided by Agent that are not specifically described in the Application shall be limited to ministerial services incident to the firm’s role as claims and noticing agent.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Agent is appointed as agent for the office of the Clerk of this Court (the “</w:t>
      </w:r>
      <w:r>
        <w:rPr>
          <w:rFonts w:ascii="Times New Roman" w:hAnsi="Times New Roman" w:eastAsia="Times New Roman" w:cs="Times New Roman"/>
          <w:b w:val="0"/>
          <w:sz w:val="24"/>
        </w:rPr>
        <w:t>Clerk’s Office</w:t>
      </w:r>
      <w:r>
        <w:rPr>
          <w:rFonts w:ascii="Times New Roman" w:hAnsi="Times New Roman" w:eastAsia="Times New Roman" w:cs="Times New Roman"/>
          <w:b w:val="0"/>
          <w:sz w:val="24"/>
        </w:rPr>
        <w:t xml:space="preserve">”) and, as such, is designated as the authorized repository for all proofs of claims filed in these chapter 11 cases and is authorized and directed to maintain official claims registers for each of the Debtors and to provide the Clerk’s Office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duplicate thereof as the Clerk’s Office may direct.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Agent is authorized to provide noticing services in the chapter 11 cases to the Clerk’s Office.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further order of the Court, the Debtors are authorized to compensate Agent in accordance with the terms and conditions of the Services Agreement, upon Agent’s submission to the Debtors of invoices summarizing in reasonable detail the services and expenses for which compensation is sought; provided, however, that Agent shall provide copies of such invoices to the Office of the United States Trustee and any official committee of creditors appointed in these chapter 11 cases.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section 503(b)(1)(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Bankruptcy Code, the fees and expenses of Agent incurred pursuant to the Services Agreement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expense of the Debtors’ estates.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Agent may hold its retainer under the Services Agreement during the chapter 11 cases as security for the payment of expenses under only the Services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provision in the Services Agreement, the Debtors shall indemnify Agent solely to the extent set forth below:</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provisions of subparagraphs (</w:t>
      </w:r>
      <w:r>
        <w:rPr>
          <w:rFonts w:ascii="Times New Roman" w:hAnsi="Times New Roman" w:eastAsia="Times New Roman" w:cs="Times New Roman"/>
          <w:b w:val="0"/>
          <w:sz w:val="24"/>
        </w:rPr>
        <w:t>(c)</w:t>
      </w:r>
      <w:r>
        <w:rPr>
          <w:rFonts w:ascii="Times New Roman" w:hAnsi="Times New Roman" w:eastAsia="Times New Roman" w:cs="Times New Roman"/>
          <w:b w:val="0"/>
          <w:sz w:val="24"/>
        </w:rPr>
        <w:t>) and (</w:t>
      </w:r>
      <w:r>
        <w:rPr>
          <w:rFonts w:ascii="Times New Roman" w:hAnsi="Times New Roman" w:eastAsia="Times New Roman" w:cs="Times New Roman"/>
          <w:b w:val="0"/>
          <w:sz w:val="24"/>
        </w:rPr>
        <w:t>(d)</w:t>
      </w:r>
      <w:r>
        <w:rPr>
          <w:rFonts w:ascii="Times New Roman" w:hAnsi="Times New Roman" w:eastAsia="Times New Roman" w:cs="Times New Roman"/>
          <w:b w:val="0"/>
          <w:sz w:val="24"/>
        </w:rPr>
        <w:t>) below, the Debtors shall indemnify, Agent for any claim arising from, related to or in connection with their performance of the services described in the Services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Agent shall not be entitled to indemnification, contribution or reimbursement for services other than the services to be provided under the Services Agreement, unless such services and the indemnification, contribution or reimbursement therefore are approved by the Court;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to the contrary in the Services Agreement, the Debtors shall have no obligation to indemnify any person, or provide contribution or reimbursement to any person, for any claim or expense that is either (i) judicially determined (the determination having become final) to have arisen from that person’s gross negligence or willful misconduct; (ii)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 dispute in which the Debtors allege breach of the Agent’s contractual obligations under the Services Agreement unless the Court determines that indemnification, contribution or reimbursement would be permissible pursuant to In re United Artists Theatre Co., 315 F.3d 217 (3d Cir. 2003); or (ii) settled prior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determination as to that person’s gross negligence or willful misconduct, but determined by this Court,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expense for which that person should not receive indemnity, contribution, or reimbursement under the terms of the Services Agreement as modified by the Application and Order;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before the earlier of (i)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confirming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plan in this case (that order having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no longer subject to appeal) and (ii)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closing this chapter 11 case, Agent believes that it is entitled to the payment of any amounts by the Debtors on account of the Debtors’ indemnification, contribution and/or reimbursement obligations under the Indemnification Agreement (as modified by this Application Order), including without limitation the advancement of defense costs, Agent must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before this Court, and the Debtors may not pay any such amounts before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by this Court approving the payment. This subparagraph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is intended only to specify the period of time under which the court shall have jurisdiction over any request for fees and expenses for indemnification, contribution or reimbursement,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limiting the duration of the Debtors’ obligation to indemnify Agent.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contained in Section VII of the Services Agreement to the contrary, Agent’s liability shall not be limited to (i) the total amount billed or billable to the Debtors for the portion of the particular work which gave rise to the loss or damage or (ii) the total amount billed to the Debtors and paid to Agent for the services contemplated under the Services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Agent shall not cease providing claims administration services during the chapter 11 cases for any reason without prior order of this Court authorizing Agent to do so; provided, however, that Agent may seek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on expedited notice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with the Court with notice of such request to be served on the Debtors, the Office of the United States Trustee and any official committee of creditors appointed in these cases by facsimile or overnight delivery.</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herein obligates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chapter 7 trustee or chapter 11 trustee to employ Agent, or obligates the Agent to perform services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chapter 7 trustee or chapter 11 trustee.</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and Agent are authorized to take all actions necessary to effectuate the relief granted pursuant to this Order in accordance with the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term in the Services Agreement to the contrary, the Court retains jurisdiction with respect to all matters arising from or related to the implementation of this Order.</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200" w:after="0" w:line="260" w:lineRule="exact"/>
        <w:ind w:left="720" w:right="0" w:firstLine="0"/>
        <w:jc w:val="both"/>
      </w:pPr>
      <w:r>
        <w:rPr>
          <w:rFonts w:ascii="Times New Roman" w:hAnsi="Times New Roman" w:eastAsia="Times New Roman" w:cs="Times New Roman"/>
          <w:b w:val="0"/>
          <w:sz w:val="24"/>
        </w:rPr>
        <w:t>[City, State]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UNITED STATES BANKRUPTCY JUDGE</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Agent’s Affidavit</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 Agreement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