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Annual Funding Notice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ANNUAL FUNDING NOTICE</w:t>
      </w:r>
    </w:p>
    <w:p>
      <w:pPr>
        <w:keepNext w:val="0"/>
        <w:spacing w:before="200" w:after="0" w:line="260" w:lineRule="exact"/>
        <w:ind w:left="360" w:right="0" w:firstLine="0"/>
        <w:jc w:val="center"/>
      </w:pPr>
      <w:r>
        <w:rPr>
          <w:rFonts w:ascii="Times New Roman" w:hAnsi="Times New Roman" w:eastAsia="Times New Roman" w:cs="Times New Roman"/>
          <w:b/>
          <w:sz w:val="24"/>
        </w:rPr>
        <w:t>for</w:t>
      </w:r>
    </w:p>
    <w:p>
      <w:pPr>
        <w:keepNext w:val="0"/>
        <w:spacing w:before="200" w:after="0" w:line="260" w:lineRule="exact"/>
        <w:ind w:left="360" w:right="0" w:firstLine="0"/>
        <w:jc w:val="center"/>
      </w:pPr>
      <w:r>
        <w:rPr>
          <w:rFonts w:ascii="Times New Roman" w:hAnsi="Times New Roman" w:eastAsia="Times New Roman" w:cs="Times New Roman"/>
          <w:b/>
          <w:sz w:val="24"/>
        </w:rPr>
        <w:t>[plan name]</w:t>
      </w:r>
    </w:p>
    <w:p>
      <w:pPr>
        <w:keepNext w:val="0"/>
        <w:spacing w:before="120" w:after="0" w:line="260" w:lineRule="exact"/>
        <w:ind w:left="720" w:right="0" w:firstLine="0"/>
        <w:jc w:val="left"/>
      </w:pPr>
      <w:r>
        <w:rPr>
          <w:rFonts w:ascii="Times New Roman" w:hAnsi="Times New Roman" w:eastAsia="Times New Roman" w:cs="Times New Roman"/>
          <w:b/>
          <w:sz w:val="24"/>
        </w:rPr>
        <w:t>Introduction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notice includes important information about the funding status of your multiemployer pension plan ("the Plan"). It also includes general information about the benefit payments guaranteed by the Pension Benefit Guaranty Corporation ("PBGC"),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insurance agency. All traditional pension plans (called "defined benefit pension plans") must provide this notice every year regardless of their funding status. This notice does not mean that the Plan is terminating. It is provided for informational purposes and you are not required to respond in any way. This notice is required by federal law. This notice is for the plan year beginning [plan year start date] and ending [plan year end date] ("Plan Year").</w:t>
      </w:r>
    </w:p>
    <w:p>
      <w:pPr>
        <w:keepNext w:val="0"/>
        <w:spacing w:before="120" w:after="0" w:line="260" w:lineRule="exact"/>
        <w:ind w:left="720" w:right="0" w:firstLine="0"/>
        <w:jc w:val="left"/>
      </w:pPr>
      <w:r>
        <w:rPr>
          <w:rFonts w:ascii="Times New Roman" w:hAnsi="Times New Roman" w:eastAsia="Times New Roman" w:cs="Times New Roman"/>
          <w:b/>
          <w:sz w:val="24"/>
        </w:rPr>
        <w:t>How Well Funded Is Your Plan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law requires the administrator of the Plan to tell you how well the Plan is funded, using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measure called the "funded percentage." The Plan divides its assets by its liabilities on the Valuation Date for the Plan Year to get this percentage. In general, the higher the percentage, the better funded the plan. The Plan's funded percentage for the Plan Year and each of the two preceding plan years is shown in the chart below. The chart also states the value of the Plan's assets and liabilities for the same period.</w:t>
      </w:r>
    </w:p>
    <w:p>
      <w:pPr>
        <w:keepNext w:val="0"/>
        <w:spacing w:before="120" w:after="0" w:line="260" w:lineRule="exact"/>
        <w:ind w:left="720" w:right="0" w:firstLine="0"/>
        <w:jc w:val="left"/>
      </w:pPr>
      <w:r>
        <w:rPr>
          <w:rFonts w:ascii="Times New Roman" w:hAnsi="Times New Roman" w:eastAsia="Times New Roman" w:cs="Times New Roman"/>
          <w:b/>
          <w:sz w:val="24"/>
        </w:rPr>
        <w:t>Year-End Fair Market Value of Assets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asset values in the chart above are measured as of the Valuation Date. They also are "actuarial values." Actuarial values differ from market values in that they do not fluctuate daily based on changes in the stock or other markets. Actuarial values smooth out those fluctuations and can allow for more predictable levels of future contributions. Despite the fluctuations, market values tend to show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clearer picture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plan's funded status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given point in time. The asset values in the chart below are market values and are measured on the last day of the Plan Year. The chart also includes the year-end market value of the Plan's assets for each of the two preceding plan years.</w:t>
      </w:r>
    </w:p>
    <w:p>
      <w:pPr>
        <w:keepNext w:val="0"/>
        <w:spacing w:before="120" w:after="0" w:line="260" w:lineRule="exact"/>
        <w:ind w:left="720" w:right="0" w:firstLine="0"/>
        <w:jc w:val="left"/>
      </w:pPr>
      <w:r>
        <w:rPr>
          <w:rFonts w:ascii="Times New Roman" w:hAnsi="Times New Roman" w:eastAsia="Times New Roman" w:cs="Times New Roman"/>
          <w:b/>
          <w:sz w:val="24"/>
        </w:rPr>
        <w:t>Endangered, Critical or Critical and Declining Status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Under federal pension law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generally will be considered to be in "endangered" status if its funded percentage is less than 80%.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is in "critical" status if the funded percentage is less than 65% (other factors may also apply).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is in "critical and declining" status if it is in critical status and is projected to become insolvent (run out of money to pay benefits) within 15 years (or within 20 years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rule applies).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pension plan enters endangered status, the trustees of the plan are required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funding improvement plan. Similarly,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pension plan enters critical status or critical and declining status, the trustees of the plan are required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rehabilitation plan. Funding improvement and rehabilitation plans establish steps and benchmarks for pension plans to improve their funding status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specified period of time. The plan sponsor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in critical and declining status may apply for approval to amend the plan to reduce current and future payment obligations to participants and beneficiaries.</w:t>
      </w:r>
    </w:p>
    <w:p>
      <w:pPr>
        <w:keepNext w:val="0"/>
        <w:spacing w:before="200" w:after="0" w:line="260" w:lineRule="exact"/>
        <w:ind w:left="1080" w:right="0" w:firstLine="0"/>
        <w:jc w:val="both"/>
      </w:pPr>
      <w:r>
        <w:rPr>
          <w:rFonts w:ascii="Times New Roman" w:hAnsi="Times New Roman" w:eastAsia="Times New Roman" w:cs="Times New Roman"/>
          <w:b/>
          <w:sz w:val="24"/>
        </w:rPr>
        <w:t>[Reference alternative language]</w:t>
      </w:r>
    </w:p>
    <w:p>
      <w:pPr>
        <w:keepNext w:val="0"/>
        <w:spacing w:before="200" w:after="0" w:line="260" w:lineRule="exact"/>
        <w:ind w:left="1080" w:right="0" w:firstLine="0"/>
        <w:jc w:val="both"/>
      </w:pPr>
      <w:r>
        <w:rPr>
          <w:rFonts w:ascii="Times New Roman" w:hAnsi="Times New Roman" w:eastAsia="Times New Roman" w:cs="Times New Roman"/>
          <w:b w:val="0"/>
          <w:sz w:val="24"/>
        </w:rPr>
        <w:t>The Plan was not in endangered, critical, or critical and declining status in the Plan Year.</w:t>
      </w:r>
    </w:p>
    <w:p>
      <w:pPr>
        <w:keepNext w:val="0"/>
        <w:spacing w:before="120" w:after="0" w:line="260" w:lineRule="exact"/>
        <w:ind w:left="720" w:right="0" w:firstLine="0"/>
        <w:jc w:val="left"/>
      </w:pPr>
      <w:r>
        <w:rPr>
          <w:rFonts w:ascii="Times New Roman" w:hAnsi="Times New Roman" w:eastAsia="Times New Roman" w:cs="Times New Roman"/>
          <w:b/>
          <w:sz w:val="24"/>
        </w:rPr>
        <w:t>Participant Information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total number of participants and beneficiaries covered by the Plan on the valuation date was [number]. Of this number, [number] were current employees, [number] were retired and receiving benefits, and [number] were retired or no longer working for the employer and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future benefits.</w:t>
      </w:r>
    </w:p>
    <w:p>
      <w:pPr>
        <w:keepNext w:val="0"/>
        <w:spacing w:before="120" w:after="0" w:line="260" w:lineRule="exact"/>
        <w:ind w:left="720" w:right="0" w:firstLine="0"/>
        <w:jc w:val="left"/>
      </w:pPr>
      <w:r>
        <w:rPr>
          <w:rFonts w:ascii="Times New Roman" w:hAnsi="Times New Roman" w:eastAsia="Times New Roman" w:cs="Times New Roman"/>
          <w:b/>
          <w:sz w:val="24"/>
        </w:rPr>
        <w:t>Funding &amp; Investment Policies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Every pension plan must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procedure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funding policy for plan objectives.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funding policy relates to how much money is needed to pay promised benefits. The funding policy of the Plan is [summary statement of the Plan's funding policy].</w:t>
      </w:r>
    </w:p>
    <w:p>
      <w:pPr>
        <w:keepNext w:val="0"/>
        <w:spacing w:before="200" w:after="0" w:line="260" w:lineRule="exact"/>
        <w:ind w:left="1080" w:right="0" w:firstLine="0"/>
        <w:jc w:val="both"/>
      </w:pPr>
      <w:r>
        <w:rPr>
          <w:rFonts w:ascii="Times New Roman" w:hAnsi="Times New Roman" w:eastAsia="Times New Roman" w:cs="Times New Roman"/>
          <w:b w:val="0"/>
          <w:sz w:val="24"/>
        </w:rPr>
        <w:t>Pension plans also have investment policies. These generally are written guidelines or general instructions for making investment management decisions. The investment policy of the Plan is [summary statement of the Plan's investment policy].</w:t>
      </w:r>
    </w:p>
    <w:p>
      <w:pPr>
        <w:keepNext w:val="0"/>
        <w:spacing w:before="200" w:after="0" w:line="260" w:lineRule="exact"/>
        <w:ind w:left="1080" w:right="0" w:firstLine="0"/>
        <w:jc w:val="both"/>
      </w:pPr>
      <w:r>
        <w:rPr>
          <w:rFonts w:ascii="Times New Roman" w:hAnsi="Times New Roman" w:eastAsia="Times New Roman" w:cs="Times New Roman"/>
          <w:b w:val="0"/>
          <w:sz w:val="24"/>
        </w:rPr>
        <w:t>Under the Plan's investment policy, the Plan's assets were allocated among the following categories of investments, as of the end of the Plan Year. These allocations are percentages of total assets:</w:t>
      </w:r>
    </w:p>
    <w:p>
      <w:pPr>
        <w:keepNext w:val="0"/>
        <w:spacing w:before="200" w:after="0" w:line="260" w:lineRule="exact"/>
        <w:ind w:left="1080" w:right="0" w:firstLine="0"/>
        <w:jc w:val="both"/>
      </w:pPr>
      <w:r>
        <w:rPr>
          <w:rFonts w:ascii="Times New Roman" w:hAnsi="Times New Roman" w:eastAsia="Times New Roman" w:cs="Times New Roman"/>
          <w:b/>
          <w:sz w:val="24"/>
        </w:rPr>
        <w:t>Asset Allocations Table:</w:t>
      </w:r>
    </w:p>
    <w:p>
      <w:pPr>
        <w:keepNext w:val="0"/>
        <w:spacing w:before="200" w:after="0" w:line="260" w:lineRule="exact"/>
        <w:ind w:left="1080" w:right="0" w:firstLine="0"/>
        <w:jc w:val="both"/>
      </w:pPr>
      <w:r>
        <w:rPr>
          <w:rFonts w:ascii="Times New Roman" w:hAnsi="Times New Roman" w:eastAsia="Times New Roman" w:cs="Times New Roman"/>
          <w:b w:val="0"/>
          <w:sz w:val="24"/>
        </w:rPr>
        <w:t>For information about the Plan's investment in any of the following types of investments – common/collective trusts, pooled separate accounts, or 103-12 investment entities – contact [name, telephone number, email address or mailing address of the plan administrator or designated representative].</w:t>
      </w:r>
    </w:p>
    <w:p>
      <w:pPr>
        <w:keepNext w:val="0"/>
        <w:spacing w:before="120" w:after="0" w:line="260" w:lineRule="exact"/>
        <w:ind w:left="720" w:right="0" w:firstLine="0"/>
        <w:jc w:val="left"/>
      </w:pPr>
      <w:r>
        <w:rPr>
          <w:rFonts w:ascii="Times New Roman" w:hAnsi="Times New Roman" w:eastAsia="Times New Roman" w:cs="Times New Roman"/>
          <w:b/>
          <w:sz w:val="24"/>
        </w:rPr>
        <w:t xml:space="preserve">Events Having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Material Effect on Assets or Liabilities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By law this notice must contain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explanation of new events that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effect on plan liabilities or assets. This is because such events can significantly impact the funding condition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For the plan year beginning on [current plan year start date (i.e., year after notice year)] and ending on [current plan year end date], the Plan expects the following events to have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 [explanation of any plan amendment, scheduled benefit increase or reduction, or other known event taking effect in the current plan year and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effect on plan liabilities or assets for the current plan year, as well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projection to the end of the current plan year of the effect of the amendment, scheduled increase or reduction, or event on plan liabilities].</w:t>
      </w:r>
    </w:p>
    <w:p>
      <w:pPr>
        <w:keepNext w:val="0"/>
        <w:spacing w:before="120" w:after="0" w:line="260" w:lineRule="exact"/>
        <w:ind w:left="720" w:right="0" w:firstLine="0"/>
        <w:jc w:val="left"/>
      </w:pPr>
      <w:r>
        <w:rPr>
          <w:rFonts w:ascii="Times New Roman" w:hAnsi="Times New Roman" w:eastAsia="Times New Roman" w:cs="Times New Roman"/>
          <w:b/>
          <w:sz w:val="24"/>
        </w:rPr>
        <w:t xml:space="preserve">Right to Request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Copy of the Annual Report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Pension plans must file annual reports with the US Department of Labor. The report is called the Form 5500. These reports contain financial and other information. You may obtain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copy of your Plan's annual report by going to www.efast.dol.gov and using the search tool. Annual reports also are available from the US Department of Labor, Employee Benefits Security Administration's Public Disclosure Room at 200 Constitution Avenue, NW, Room N-1513, Washington, DC 20210, or by calling 202.693.8673. Or you may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Plan's annual report by making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request to the plan administrator. </w:t>
      </w:r>
      <w:r>
        <w:rPr>
          <w:rFonts w:ascii="Times New Roman" w:hAnsi="Times New Roman" w:eastAsia="Times New Roman" w:cs="Times New Roman"/>
          <w:b w:val="0"/>
          <w:sz w:val="24"/>
        </w:rPr>
        <w:t xml:space="preserve">[If the Plan's annual report is available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Intranet website maintained by the plan sponsor (or plan administrator on behalf of the plan sponsor), modify the preceding sentence to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that the annual report also may be obtained through that website and include the website address.]</w:t>
      </w:r>
      <w:r>
        <w:rPr>
          <w:rFonts w:ascii="Times New Roman" w:hAnsi="Times New Roman" w:eastAsia="Times New Roman" w:cs="Times New Roman"/>
          <w:b w:val="0"/>
          <w:sz w:val="24"/>
        </w:rPr>
        <w:t xml:space="preserve"> Annual reports do not contain personal information, such as the amount of your accrued benefit. You may contact your plan administrator if you want information about your accrued benefits. Your plan administrator is identified below under "Where To Get More Information."</w:t>
      </w:r>
    </w:p>
    <w:p>
      <w:pPr>
        <w:keepNext w:val="0"/>
        <w:spacing w:before="120" w:after="0" w:line="260" w:lineRule="exact"/>
        <w:ind w:left="720" w:right="0" w:firstLine="0"/>
        <w:jc w:val="left"/>
      </w:pPr>
      <w:r>
        <w:rPr>
          <w:rFonts w:ascii="Times New Roman" w:hAnsi="Times New Roman" w:eastAsia="Times New Roman" w:cs="Times New Roman"/>
          <w:b/>
          <w:sz w:val="24"/>
        </w:rPr>
        <w:t>Summary of Rules Governing Insolvent Plans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Federal law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special rules that apply to financially troubled multiemployer plans that become insolvent, either as ongoing plans or plans terminated by mass withdrawal. The plan administrator is required by law to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summary of these rules in the annual funding notice.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is insolvent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year if its available financial resources are not sufficient to pay benefits when due for that plan year.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insolvent plan must reduce benefit payments to the highest level that can be paid from the plan's available resources. If such resources are not enough to pay benefits at the level specified by law (see Benefit Payments Guaranteed by the PBGC, below), the plan must apply to the PBGC for financial assistance. The PBGC will loan the plan the amount necessary to pay benefits at the guaranteed level. Reduced benefits may be restored if the plan's financial condition improves.</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that becomes insolvent must provide prompt notice of its status to participants and beneficiaries, contributing employers, labor unions representing participants, and PBGC. In addition, participants and beneficiaries also must receive information regarding whether, and how, their benefits will be reduced or affected, including loss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lump sum option.</w:t>
      </w:r>
    </w:p>
    <w:p>
      <w:pPr>
        <w:keepNext w:val="0"/>
        <w:spacing w:before="120" w:after="0" w:line="260" w:lineRule="exact"/>
        <w:ind w:left="720" w:right="0" w:firstLine="0"/>
        <w:jc w:val="left"/>
      </w:pPr>
      <w:r>
        <w:rPr>
          <w:rFonts w:ascii="Times New Roman" w:hAnsi="Times New Roman" w:eastAsia="Times New Roman" w:cs="Times New Roman"/>
          <w:b/>
          <w:sz w:val="24"/>
        </w:rPr>
        <w:t>Benefit Payments Guaranteed by the PBGC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maximum benefit that the PBGC guarantees is set by law. Only benefits that you have earned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receive and that cannot be forfeited (called vested benefits) are guaranteed. There are separate insurance programs with different benefit guarantees and other provisions for single-employer plans and multiemployer plans. Your Plan is covered by PBGC's multiemployer program. Specifically, the PBGC guarantees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benefit payment equal to 100 percent of the first $11 of the Plan's monthly benefit accrual rate, plus 75% of the next $33 of the accrual rate, times each year of credited service. The PBGC's maximum guarantee, therefore, is $35.75 per month times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participant's years of credited service.</w:t>
      </w:r>
    </w:p>
    <w:p>
      <w:pPr>
        <w:keepNext w:val="0"/>
        <w:spacing w:before="200" w:after="0" w:line="260" w:lineRule="exact"/>
        <w:ind w:left="1080" w:right="0" w:firstLine="0"/>
        <w:jc w:val="both"/>
      </w:pPr>
      <w:r>
        <w:rPr>
          <w:rFonts w:ascii="Times New Roman" w:hAnsi="Times New Roman" w:eastAsia="Times New Roman" w:cs="Times New Roman"/>
          <w:b w:val="0"/>
          <w:sz w:val="24"/>
        </w:rPr>
        <w:t>Example 1</w:t>
      </w: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with 10 years of credited service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accrued monthly benefit of $600, the accrual rate for purposes of determining the PBGC guarantee would be determined by dividing the monthly benefit by the participant's years of service ($600/10), which equals $60. The guaranteed amount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 monthly accrual rate is equal to the sum of $11 plus $24.75 (.75 x $33), or $35.75. Thus, the participant's guaranteed monthly benefit is $357.50 ($35.75 x 10).</w:t>
      </w:r>
    </w:p>
    <w:p>
      <w:pPr>
        <w:keepNext w:val="0"/>
        <w:spacing w:before="200" w:after="0" w:line="260" w:lineRule="exact"/>
        <w:ind w:left="1080" w:right="0" w:firstLine="0"/>
        <w:jc w:val="both"/>
      </w:pPr>
      <w:r>
        <w:rPr>
          <w:rFonts w:ascii="Times New Roman" w:hAnsi="Times New Roman" w:eastAsia="Times New Roman" w:cs="Times New Roman"/>
          <w:b w:val="0"/>
          <w:sz w:val="24"/>
        </w:rPr>
        <w:t>Example 2</w:t>
      </w:r>
      <w:r>
        <w:rPr>
          <w:rFonts w:ascii="Times New Roman" w:hAnsi="Times New Roman" w:eastAsia="Times New Roman" w:cs="Times New Roman"/>
          <w:b w:val="0"/>
          <w:sz w:val="24"/>
        </w:rPr>
        <w:t xml:space="preserve">: If the participant in Example 1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accrued monthly benefit of $200, the accrual rate for purposes of determining the guarantee would be $20 (or $200/10). The guaranteed amount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$20 monthly accrual rate is equal to the sum of $11 plus $6.75 (.75 x $9), or $17.75. Thus, the participant's guaranteed monthly benefit would be $177.50 ($17.75 x 10).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PBGC guarantees pension benefits payable at normal retirement age and some early retirement benefits. In addition, the PBGC guarantees qualified preretirement survivor benefits (which are preretirement death benefits payable to the surviving spouse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who dies before starting to receive benefit payments). In calculating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person's monthly payment, the PBGC will disregard any benefit increases that were made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within 60 months before the earlier of the plan's termination or insolvency (or benefits that were in effect for less than 60 months at the time of termination or insolvency). Similarly, the PBGC does not guarantee benefits above the normal retirement benefit, disability benefits not in pay status, or non-pension benefits, such as health insurance, life insurance, death benefits, vacation pay, or severance pay.</w:t>
      </w:r>
    </w:p>
    <w:p>
      <w:pPr>
        <w:keepNext w:val="0"/>
        <w:spacing w:before="120" w:after="0" w:line="260" w:lineRule="exact"/>
        <w:ind w:left="720" w:right="0" w:firstLine="0"/>
        <w:jc w:val="left"/>
      </w:pPr>
      <w:r>
        <w:rPr>
          <w:rFonts w:ascii="Times New Roman" w:hAnsi="Times New Roman" w:eastAsia="Times New Roman" w:cs="Times New Roman"/>
          <w:b/>
          <w:sz w:val="24"/>
        </w:rPr>
        <w:t>Where to Get More Information</w:t>
      </w:r>
    </w:p>
    <w:p>
      <w:pPr>
        <w:keepNext w:val="0"/>
        <w:spacing w:before="200" w:after="0" w:line="260" w:lineRule="exact"/>
        <w:ind w:left="1080" w:right="0" w:firstLine="0"/>
        <w:jc w:val="both"/>
      </w:pPr>
      <w:r>
        <w:rPr>
          <w:rFonts w:ascii="Times New Roman" w:hAnsi="Times New Roman" w:eastAsia="Times New Roman" w:cs="Times New Roman"/>
          <w:b w:val="0"/>
          <w:sz w:val="24"/>
        </w:rPr>
        <w:t>For more information about this notice, you may contact [name of plan administrator and if applicable, principal administrative officer], at [phone number and address, and insert e-mail address if appropriate]. For identification purposes, the official plan number is [plan number] and the plan sponsor's name and employer identification number (or EIN) is [name and EIN of plan sponsor].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