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Anti-Greenmail Charter Amendment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ARTICLE [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Prevention of “Greenmail”.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direct or indirect purchase or other acquisition by the Corporation of any Equity Security (as hereinafter defined) of any class from any Interested Securityholder (as hereinafter defined) who has beneficially owned such securities for less than [two][three] years prior to the date of such purchase or any agreement in respect thereof shall, except as hereinafter expressly provided, require the affirmative vote (</w:t>
      </w:r>
      <w:r>
        <w:rPr>
          <w:rFonts w:ascii="Times New Roman" w:hAnsi="Times New Roman" w:eastAsia="Times New Roman" w:cs="Times New Roman"/>
          <w:b/>
          <w:sz w:val="24"/>
        </w:rPr>
        <w:t>A</w:t>
      </w:r>
      <w:r>
        <w:rPr>
          <w:rFonts w:ascii="Times New Roman" w:hAnsi="Times New Roman" w:eastAsia="Times New Roman" w:cs="Times New Roman"/>
          <w:b w:val="0"/>
          <w:sz w:val="24"/>
        </w:rPr>
        <w:t>) [</w:t>
      </w:r>
      <w:r>
        <w:rPr>
          <w:rFonts w:ascii="Times New Roman" w:hAnsi="Times New Roman" w:eastAsia="Times New Roman" w:cs="Times New Roman"/>
          <w:b w:val="0"/>
          <w:sz w:val="24"/>
        </w:rPr>
        <w:t>[The Board of Directors]</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[Disinterested] Directors]</w:t>
      </w:r>
      <w:r>
        <w:rPr>
          <w:rFonts w:ascii="Times New Roman" w:hAnsi="Times New Roman" w:eastAsia="Times New Roman" w:cs="Times New Roman"/>
          <w:b w:val="0"/>
          <w:sz w:val="24"/>
        </w:rPr>
        <w:t xml:space="preserve">] and (B) of the holders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[majority][80%] of the voting power of the then outstanding shares of capital stock of the Corporation entitled to vote generally in the election of directors (the “Voting Stock”), excluding Voting Stock beneficially owned by such Interested Securityholder [and the Affiliates of such Interested Securityholder], voting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(it being understood that for the purposes of this Article [ ], each share of Voting Stock shall have the number of votes granted to it pursuant to Article [ ] of this Certificate of Incorporation). The affirmative vote of the stockholdersshall be required notwithstanding the fact that no vote may be required, 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percentage may be specified, by law or any agreement with any national securities exchange, or otherwise, but no such affirmative vote shall be required with respect to any purchase or other acquisition of securities made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or exchange offer by the Corporation to purchase securities of the same class made on the same terms to all holders of such securities and complying with the applicable requirements of the Securities Exchange Act of 1934 and the rules and regulations thereunder (or any subsequent provisions replacing such Act, rules or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purposes of this Article [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broadly interpreted to include, without limitation, any individual, firm, corporation, company, partnership or other entity.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“Interested Securityholder” shall mean any person (other than the Corporation or any person of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any class of Equity Security is owned, directly or indirectly, by the Corporation) who or which: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the beneficial owner, directly or indirectly, of [5]% or more of the class of securities to be acquired;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Corporation and at any time within the two-year period immediately prior to the date in question was the beneficial owner, directly or indirectly of [5]% or more of the class of securities to be acquired; or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or has otherwise succeeded to any shares of the class of securities to be acquired which, at any time within the two-year period immediately prior to the date in question, was beneficially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Securityholder, if such assignment or succession shall have occurred in the course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transactions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with the meaning of the Securities Act of 1933,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any security of any class of the Corporation which: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person or any of its Affiliates or Associates (as hereinafter defined) beneficially owns, directly or indirectly;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person or any of its Affiliates or Associates has (</w:t>
      </w:r>
      <w:r>
        <w:rPr>
          <w:rFonts w:ascii="Times New Roman" w:hAnsi="Times New Roman" w:eastAsia="Times New Roman" w:cs="Times New Roman"/>
          <w:b/>
          <w:sz w:val="24"/>
        </w:rPr>
        <w:t>A</w:t>
      </w:r>
      <w:r>
        <w:rPr>
          <w:rFonts w:ascii="Times New Roman" w:hAnsi="Times New Roman" w:eastAsia="Times New Roman" w:cs="Times New Roman"/>
          <w:b w:val="0"/>
          <w:sz w:val="24"/>
        </w:rPr>
        <w:t>) the right to acquire (whether such right is exercisable immediately or only after the passage of time), pursuant to any agreement, arrangement or understanding or upon the exercise of conversion rights, exchange rights, warrants or options, or otherwise, or (B) any right to vote pursuant to any agreement, arrangement or understanding; or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beneficially owned, directly or indirectly, by any other person with whom such person or any of its Affiliates or Associates has any agreement, arrangement or understanding for the purpose of acquiring, holding, voting or disposing any security of any class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Securityholder pursuant to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Section [2], the relevant class of securities outstanding shall be deemed to comprise all such securities deemed owned through application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Section [2], but shall not include other securities of such class which may be issuable pursuant to any agreement, arrangement or understanding, or upon exercise of conversion rights, warrants or options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“Affiliate” or “Associate” shall have the respective meanings ascribed to such terms in Rule 12b-2 of the General Rules and Regulations under the Securities Exchange Act of 1934, as amended, as in effect on [   ].</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“Equity Security” shall have the meaning ascribed to such term in Section 3(</w:t>
      </w:r>
      <w:r>
        <w:rPr>
          <w:rFonts w:ascii="Times New Roman" w:hAnsi="Times New Roman" w:eastAsia="Times New Roman" w:cs="Times New Roman"/>
          <w:b/>
          <w:sz w:val="24"/>
        </w:rPr>
        <w:t>a</w:t>
      </w:r>
      <w:r>
        <w:rPr>
          <w:rFonts w:ascii="Times New Roman" w:hAnsi="Times New Roman" w:eastAsia="Times New Roman" w:cs="Times New Roman"/>
          <w:b w:val="0"/>
          <w:sz w:val="24"/>
        </w:rPr>
        <w:t>)(11) of the Securities Exchange Act of 1934, as in effect on [  ].</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[Disinterested] Directors] of the Corporation shall have the power to determine the application of, or compliance with, this ARTICLE [ ], including, without limitation: (i)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Securityholder; (ii)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any Equity Security; and (iii) the Fair Market Value of any Equity Security. Any decision or action taken by the Board of Directors arising out of or in connection with the construction, interpretation and effect of this ARTICLE [ ] shall lie within its absolute discretion and shall be conclusive and binding, except in circumstances involving bad faith.</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