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Anti-retaliation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endeavors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free from harassment, discrimination, and retaliation. Employees should feel comfortable reporting complaints or concerns about violations of Company policies or procedures or applicable laws, rules, or regulations without fear of reprisal. In furtherance of this policy, the Company does not tolerate retaliation against any employee who in good faith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 about the workplace, 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 about the workplace.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retaliation against employees who in good faith make complaints or report concerns—or who provide information or participate in investigations or proceedings—regarding workplace discrimination or harassment and/or workplace violations of, or non-compliance with, matters including, but not limited to, applicable federal, state, and local laws, rules and regulations, Company policies, or Company procedures. The policy also prohibits retaliation against employees who refuse to participate, or object to participating,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policy, or practice that is in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rule, or regulation and creates and 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and specific danger to public health or safety.</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Retaliation means adverse action taken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concerns—regarding workplace discrimination or harassment and/or workplace violations of, or non-compliance with, matters including, but not limited to, applicable federal, state, and local laws, Company policies, or Company procedures. Adverse actions can include, but are not limited to, demotion, denial of promotion, suspension without pay, termination, decrease in salary, other denials of the benefits of employment to employees, and fostering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feel you were subject to retaliation or are aware of retaliation against another employee, you should report this to the [department(s) to contact]. This policy is not meant to impede you from bringing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or providing information to, appropriate governmental authorities regarding possible violations of state, local, or federal law, or making disclosures pursuant to whistleblower laws. It is also not intended to impede employees from discussing terms and conditions of employment with other employees.</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employee who engages in retaliation or otherwise violates this policy is subject to disciplinary action, up to and including termination of employment.</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Anti-retaliation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