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Anti-retaliation Policy</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Company prohibits all unlawful retaliation against any individual, including, but not limited to, those who in good faith report harassment or discrimination. Retaliation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adverse action taken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because the employee engaged in protected activity.</w:t>
      </w:r>
    </w:p>
    <w:p>
      <w:pPr>
        <w:keepNext w:val="0"/>
        <w:spacing w:before="200" w:after="0" w:line="260" w:lineRule="exact"/>
        <w:ind w:left="360" w:right="0" w:firstLine="0"/>
        <w:jc w:val="both"/>
      </w:pPr>
      <w:r>
        <w:rPr>
          <w:rFonts w:ascii="Times New Roman" w:hAnsi="Times New Roman" w:eastAsia="Times New Roman" w:cs="Times New Roman"/>
          <w:b w:val="0"/>
          <w:sz w:val="24"/>
        </w:rPr>
        <w:t>If you believe that you have been retaliated against, we encourage you to follow the Complaint Procedure. The Company will investigate your complaint and take appropriate remedial action. This policy is not intended to prohibit employees from discussing terms and conditions of employment with others, reporting to the government possible violations of applicable federal or state laws or regulations, or making other disclosures to the government protected under the whistleblower provisions of applicable federal or state laws or regulations.</w:t>
      </w:r>
    </w:p>
    <w:p>
      <w:pPr>
        <w:keepNext w:val="0"/>
        <w:spacing w:before="200" w:after="0" w:line="260" w:lineRule="exact"/>
        <w:ind w:left="360" w:right="0" w:firstLine="0"/>
        <w:jc w:val="both"/>
      </w:pPr>
      <w:r>
        <w:rPr>
          <w:rFonts w:ascii="Times New Roman" w:hAnsi="Times New Roman" w:eastAsia="Times New Roman" w:cs="Times New Roman"/>
          <w:b w:val="0"/>
          <w:sz w:val="24"/>
        </w:rPr>
        <w:t>Anyone who engages in retaliation will be subject to disciplinary action, up to and including termination of employment.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