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Antidumping and Countervailing Duty Investigation Timeline Flowchart</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flowchart of the statutory timeline for the U.S. Department of Commerce and the U.S. International Trade Commission to complete their antidumping and countervailing duty investigations in response to petitions received on behalf of U.S. industries under the Tariff Act of 1930.</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Tariff Act of 1930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U.S. industries to seek relief for material injuries caused by goods imported into the U.S. that are being sold at less than fair value (known as “dumping”) and/or where the goods’ producers or exporters are being subsidized by foreign governments.  Interested parties, on behalf of the relevant industry, may petition the U.S. Department of Commerce (DOC) and the U.S. International Trade Commission (ITC) to impose antidumping and/or countervailing duties on imports of the subject goods.  Petitions are filed simultaneously with the two agencies, as they have separate but dependent roles during the investigation of the dumping and/or subsidization allegations.</w:t>
      </w:r>
    </w:p>
    <w:p>
      <w:pPr>
        <w:keepNext w:val="0"/>
        <w:spacing w:before="120" w:after="0" w:line="260" w:lineRule="exact"/>
        <w:ind w:right="0"/>
        <w:jc w:val="both"/>
      </w:pPr>
      <w:r>
        <w:rPr>
          <w:rFonts w:ascii="Times New Roman" w:hAnsi="Times New Roman" w:eastAsia="Times New Roman" w:cs="Times New Roman"/>
          <w:b w:val="0"/>
          <w:sz w:val="24"/>
        </w:rPr>
        <w:t xml:space="preserve">DOC must determine whether, and to what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subject good is being dumped or the producer or export of the good benefits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countervailable subsidy.</w:t>
      </w:r>
    </w:p>
    <w:p>
      <w:pPr>
        <w:keepNext w:val="0"/>
        <w:spacing w:before="120" w:after="0" w:line="260" w:lineRule="exact"/>
        <w:ind w:right="0"/>
        <w:jc w:val="both"/>
      </w:pPr>
      <w:r>
        <w:rPr>
          <w:rFonts w:ascii="Times New Roman" w:hAnsi="Times New Roman" w:eastAsia="Times New Roman" w:cs="Times New Roman"/>
          <w:b w:val="0"/>
          <w:sz w:val="24"/>
        </w:rPr>
        <w:t>The ITC must determine whether the dumping or countervailable subsidization materially injures, or threatens with material injury, the relevant U.S. industry.</w:t>
      </w:r>
    </w:p>
    <w:p>
      <w:pPr>
        <w:keepNext w:val="0"/>
        <w:spacing w:before="200" w:after="0" w:line="260" w:lineRule="exact"/>
        <w:ind w:left="0" w:right="0" w:firstLine="0"/>
        <w:jc w:val="both"/>
      </w:pPr>
      <w:r>
        <w:rPr>
          <w:rFonts w:ascii="Times New Roman" w:hAnsi="Times New Roman" w:eastAsia="Times New Roman" w:cs="Times New Roman"/>
          <w:b w:val="0"/>
          <w:sz w:val="24"/>
        </w:rPr>
        <w:t>The flowchart linked above depicts the major phases of the agencies’ investigations and the statutory timeline for completing each phase of the investigations.</w:t>
      </w:r>
    </w:p>
    <w:p>
      <w:pPr>
        <w:keepNext w:val="0"/>
        <w:spacing w:before="200" w:after="0" w:line="260" w:lineRule="exact"/>
        <w:ind w:left="0" w:right="0" w:firstLine="0"/>
        <w:jc w:val="both"/>
      </w:pPr>
      <w:r>
        <w:rPr>
          <w:rFonts w:ascii="Times New Roman" w:hAnsi="Times New Roman" w:eastAsia="Times New Roman" w:cs="Times New Roman"/>
          <w:b w:val="0"/>
          <w:sz w:val="24"/>
        </w:rPr>
        <w:t>For additional guidance, see Antidumping and Countervailing Duties.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