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Arbitration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ARBITRATION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ARBITRATION AGREEMENT (Agreement) is made by and between [Employer name] (Employer) and [Employee name] (Employee).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purpose of this Agreement is to establish final and binding arbitration for all disputes arising out of Employee’s relationship with Employer, including without limitation Employee’s employment or the termination of Employee’s employment. Employee and Employer desire to arbitrate their disputes on the terms and conditions set forth below to gain the benefits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speedy, impartial dispute-resolution procedure. Employee and Employer agree to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Covered by the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 and Employer mutually consent to the resolution by final and binding arbitration of all claims or controversies (claims) that Employer may have against Employee or that Employee may have against Employer or against its officers, directors, partners, employees, agents, pension or benefit plans, administrators, or fiduciaries, or any subsidiary or affiliated company or corporation (collectively referred to as Employer), relating to, resulting from, or in any way arising out of Employee’s relationship with Employer, Employee’s employment relationship with Employer and/or the termination of Employee’s employment relationship with Employer, to the extent permitted by law. The claims covered by this Agreement include, but are not limited to, [claims covered, such as breach of any contract or covenant (express or implied); claims for discrimination and harassment; tort claims; claims for benefits (except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or pension plan specifies that its claims procedure shall culminate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procedure different from this one); and claims for violation of any public policy, federal, state or other governmental law, statute, regulation or ordinance].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Notice of Claims and Statute of Limitations.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 may initiate arbitration by serving or mailing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[title] at Employer’s principal place of business. Employer may initiate arbitration by serving or mailing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Employee at the last address recorded in Employee’s personnel file. The written notice must specify the claims asserted against the other party. Notice of any claim sought to be arbitrated must be served within the limitations period established by applicable federal or state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demand for arbitration has been made by serving written notice under the terms of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Agreement, the party demanding arbitration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for arbitration with the American Arbitration Association (AAA) in [location].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arbitrator shall be selected from the AAA panel and the arbitration shall be conducted pursuant to AAA policies and procedures. Except as provided herein, all rules governing the arbitration shall be the then applicable rules set forth by the AAA. If the dispute is employment-related, the dispute shall be governed by the AAA’s then current version of the national rules for the resolution of employment disputes. The AAA’s then applicable rules governing the arbitration may be obtained from the AAA’s website, which currently is www.adr.org.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arbitrator shall apply the substantive law (and the law of remedies, if applicable) of the state in which the claim arose, or federal law, or both, as applicable to the claim(s) asserted. The arbitrator shall have exclusive authority to resolve any dispute relating to the interpretation, applicability, enforceability or formation of this Agreement, including but not limited to any claim that all or any part of this Agreement is void or voidable.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Either party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summary judgment with the arbitrator. The arbitrator is entitled to resolve some or all of the asserted claims through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standards to be applied by the arbitrator in ruling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summary judgment shall be the applicable laws as specified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Discovery shall be allowed and conducted pursuant to the then applicable arbitration rules of the AAA, provided that the parties shall be entitled to discovery sufficient to adequately arbitrate their claims and defenses. The arbitrator is authorized to rule on discovery motions brought under the applicable discovery rules.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 and collective action waiver.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not to bring any disputes between each other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or class basis; rather, the parties agree to bring such disputes in arbitration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may not resolve any disputes concerning the enforceability or validity of this class and collective action waiver;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with proper jurisdiction may resolve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If this class action waiver is held to be illegal for any reason, the parties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and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will hear any class or collective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for Emergency Injunctive and/or Other 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Claims by Employer or Employee for emergency injunctive and/or other equitable relief shall be subject to the then current version of the AAA’s Rules Governing Emergency Measures of Protection set forth within the AAA’s Commercial Dispute Resolution Procedures. The AAA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emergency arbitrator to handle the claim(s) for emergency relief. The emergency arbitrator selected by the AAA shall be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retired judge,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experienced in handling matters involving claims for emergency injunctive and/or other equitable relief. The emergency arbitrator shall immediately disclose any circumstance likely, on the basis of the facts disclosed on the application, to affect such arbitrator’s impartiality or independence. Any challenge to the appointment of the emergency arbitrator must be made within one business day of the communication by the AAA to the parties of the appointment of the emergency arbitrator and the circumstances disclosed.</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 Decision.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arbitrator’s decision will be final and binding. The arbitrator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arbitration decision revealing the essential findings and conclusions upon which the decision and/or award is based.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right to appeal the decision is limited to grounds provided under applicable federal or state law.</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 Hearing.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arbitration will be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convenient location that must be within [distance] miles of Employee’s last company employment location. If the parties cannot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then the arbitration will be held at the AAA’s office nearest to Employee’s last employment location. The arbitrator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for the hearing and cause notice thereof to be served personally or by registered or certified mail on the parties to the arbitration and not less than [number of days] before the hearing. Appearance at the hearing waives the right to notice.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Should any portion of this Agreement be found to be unenforceable, such portion will be severed from this Agreement, and the remaining portions shall continue to be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Fees, and Costs.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may be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other representative selected by the party. Each party shall be responsible for its own attorney’s or representative’s fees. However, if any party prevails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claim that affords the prevailing party’s attorney’s fees, or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providing for fees, the arbitrator may award reasonable fees to the prevailing party.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fails to pursue mediation or arbitration, fails to comply with the arbitrator’s decision and award, or challenges the arbitrator’s decision without merit, the party shall be responsible for cost of suit, including reasonable attorney’s fees.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Employer shall be responsible for the arbitrator’s fees and costs to the extent they exceed any fee or cost that Employee would be required to bear if the action were brought in court.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Sole and 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expresses the entire Agreement of the parties and shall supersede any and all other agreements, oral or written, concerning arbitration. This Agreement is not, and shall not be construed to create, any contract of employment, express or implied.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Requirements for Modification or Revocation.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to arbitrate shall survive the termination of Employee’s employment. It can only be revoked or modified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President of Employer and Employee that specifically states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 to revoke or modify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EMPLOYEE ACKNOWLEDGES THAT EMPLOYEE HAS CAREFULLY READ THIS AGREEMENT, UNDERSTANDS ITS TERMS, AND AGREES THAT ALL UNDERSTANDINGS AND AGREEMENTS BETWEEN EMPLOYER AND EMPLOYEE RELATING TO THE SUBJECTS COVERED IN THE AGREEMENT ARE CONTAINED IN IT. EMPLOYEE HAS KNOWINGLY AND VOLUNTARILY ENTERED INTO THE AGREEMENT WITHOUT RELIANCE ON ANY PROVISIONS OR REPRESENTATIONS BY EMPLOYER, OTHER THAN THOSE CONTAINED IN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EMPLOYEE FURTHER ACKNOWLEDGES THAT EMPLOYEE HAS BEEN GIVEN THE OPPORTUNITY TO DISCUSS THIS AGREEMENT WITH EMPLOYEE’S PRIVATE LEGAL COUNSEL AND EMPLOYEE HAS UTILIZED THAT OPPORTUNITY TO THE EXTENT DESIRED.</w:t>
      </w:r>
    </w:p>
    <w:p>
      <w:pPr/>
    </w:p>
    <w:p>
      <w:pPr>
        <w:keepNext w:val="0"/>
        <w:spacing w:before="120" w:after="0" w:line="260" w:lineRule="exact"/>
        <w:ind w:left="360" w:right="0" w:firstLine="0"/>
        <w:jc w:val="left"/>
      </w:pPr>
      <w:r>
        <w:rPr>
          <w:rFonts w:ascii="Times New Roman" w:hAnsi="Times New Roman" w:eastAsia="Times New Roman" w:cs="Times New Roman"/>
          <w:b/>
          <w:sz w:val="24"/>
        </w:rPr>
        <w:t>Employee</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Employer</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