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Articles of Organization Statutory Newspaper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w:t>
      </w:r>
      <w:r>
        <w:rPr>
          <w:rFonts w:ascii="Times New Roman" w:hAnsi="Times New Roman" w:eastAsia="Times New Roman" w:cs="Times New Roman"/>
          <w:sz w:val="24"/>
        </w:rPr>
        <w:br/>
      </w:r>
      <w:r>
        <w:rPr>
          <w:rFonts w:ascii="Times New Roman" w:hAnsi="Times New Roman" w:eastAsia="Times New Roman" w:cs="Times New Roman"/>
          <w:b/>
          <w:sz w:val="24"/>
        </w:rPr>
        <w:t>OF FORMATION OF LIMITED LIABILITY COMPANY PURSUANT TO SECTION 206(c) OF THE NEW YORK LIMITED LIABILITY COMPANY LAW</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of the limited liability company is [name], L.L.C.</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Articles of Organization were filed with the New York Secretary of State on [date].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principal office and address of the limited liability company is to be located in the County of [name of county] New York.</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New York Secretary of State is designated as agent of the limited liability company upon whom process against it may be served. The post office address within New York to which the Secretary of State shall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process against the limited liability company served upon him or her is [address] [city], New York.</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and street address within New York of the registered agent of the limited liability company upon whom and at which process against the limited liability company can be served is [name address] [city], New York.</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latest date on which the limited liability company is to dissolve is [date], unless dissolved before such date pursuant to the New York Limited Liability Company Law or the Operating Agreement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limited liability company is formed for the purpose of [state purpose].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