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Attendance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Punctuality and regular attendance are essential to the successful operation of the Company’s business.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knows in advance that he or she will be unable to report to work (or to report to work on time) for any reason, the employee must notify his or her supervisor by telephone or e-mail as far in advance as possible before the day(s) of the absence or his or her starting time. If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unanticipated absence or tardiness, the employee (or his or her representative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emergency) must call or e-mail his or her supervisor no later than [amount of time] after his or her starting time.</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desires to leave work for any reason during the workday, the employee must obtain the approval of his or her supervisor prior to leaving. In the event that the employee fails to call in to his or her supervisor or report for work for three consecutive workdays, the employee will be deemed to have voluntarily resigned from his or her employment with the Company and will be removed from the payroll, except as otherwise provided by law and absent extenuating circumstances. This policy is not intended to limit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right to engage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lawful strike, work stoppage, or other conduct protected by Section 7 of the National Labor Relations Act.</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Excessive absenteeism or tardiness may subject the employee to disciplinary action, up to and including termination. Absences protected by any applicable federal, state, or local law are not subject to disciplinary action. Although this policy is intended for non-exempt employees, the Company may discipline exempt employees for excessive absences or late arrivals, up to and including termination.</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Attendance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