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Attendance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Punctuality and regular attendance are essential to the successful operation of the Company’s business.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knows in advance that he or she will be unable to report to work (or to report to work on time) for any reason, the employee must notify his or her supervisor by telephone or e-mail as far in advance as possible before the day(s) of the absence or his or her starting time.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unanticipated absence or tardiness, the employee (or his or her representative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must call or e-mail his or her supervisor no later than [amount of time] after his or her starting time.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desires to leave work for any reason during the workday, the employee must obtain the approval of his or her supervisor prior to leaving. In the event that the employee fails to call in to his or her supervisor or report for work for three consecutive workdays, the employee will be deemed to have voluntarily resigned from his or her employment with the Company and will be removed from the payroll, except as otherwise provided by law and absent extenuating circumstances. This policy is not intended to limit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right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lawful strike, work stoppage, or other conduct protected by Section 7 of the National Labor Relations Act.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Excessive absenteeism or tardiness may subject the employee to disciplinary action, up to and including termination. However, absences protected by federal law, the pregnancy and disability accommodation provisions of the New Jersey Law Against Discrimination, the New Jersey Family Leave Act, [applicable local law, if any,] or any other applicable state and local laws are not subject to disciplinary action. Although this policy is intended for non-exempt employees, the Company may discipline exempt employees for excessive absences or late arrivals, up to and including termination.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Attendance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