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Attendance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Punctuality and regular attendance are essential to the successful operation of the Company’s business.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knows in advance that he or she will be unable to report to work (or to report to work on time) for any reason, the employee must notify his or her supervisor by telephone or e-mail as far in advance as possible before the day(s) of the absence or his or her starting time. If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unanticipated absence or tardiness, the employee (or his or her representative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must call or e-mail his or her supervisor no later than [amount of time] after his or her starting time.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desires to leave work for any reason during the workday, the employee must obtain the approval of his or her supervisor prior to leaving. In the event that the employee fails to call in to his or her supervisor or report for work for three consecutive workdays, the employee will be deemed to have voluntarily resigned from his or her employment with the Company and will be removed from the payroll, except as otherwise provided by law and absent extenuating circumstances. This policy is not intended to limit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right to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lawful strike, work stoppage, or other conduct protected by Section 7 of the National Labor Relations Act.</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Excessive absenteeism or tardiness may subject the employee to disciplinary action, up to and including termination. Absences protected by federal law, the pregnancy accommodation provisions of the Ohio Fair Employment Practices Law, or any other applicable state or local laws, are not subject to disciplinary action. Although this policy is intended for non-exempt employees, the Company may discipline exempt employees for excessive absences or late arrivals, up to and including termination.</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Attendance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