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72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will be forever barred from filing the same after that date. The statute of limitations is specific to your type of claim. Other claims may have different statute of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matters arise, please do not hesitate to contact our firm again.</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