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Authorization to Indemnify Directors and Officers </w:t>
      </w:r>
    </w:p>
    <w:p>
      <w:pPr>
        <w:keepNext w:val="0"/>
        <w:spacing w:after="0" w:line="240" w:lineRule="exact"/>
        <w:ind w:right="0"/>
        <w:jc w:val="both"/>
      </w:pPr>
    </w:p>
    <w:p>
      <w:pPr>
        <w:keepNext w:val="0"/>
        <w:spacing w:before="200" w:after="0" w:line="260" w:lineRule="exact"/>
        <w:ind w:left="360" w:right="0" w:firstLine="0"/>
        <w:jc w:val="both"/>
      </w:pPr>
      <w:r>
        <w:rPr>
          <w:rFonts w:ascii="Times New Roman" w:hAnsi="Times New Roman" w:eastAsia="Times New Roman" w:cs="Times New Roman"/>
          <w:b w:val="0"/>
          <w:sz w:val="24"/>
        </w:rPr>
        <w:t>[Article number]</w:t>
      </w:r>
    </w:p>
    <w:p>
      <w:pPr>
        <w:keepNext w:val="0"/>
        <w:spacing w:before="120" w:after="0" w:line="260" w:lineRule="exact"/>
        <w:ind w:left="720" w:right="0" w:firstLine="0"/>
        <w:jc w:val="left"/>
      </w:pPr>
      <w:r>
        <w:rPr>
          <w:rFonts w:ascii="Times New Roman" w:hAnsi="Times New Roman" w:eastAsia="Times New Roman" w:cs="Times New Roman"/>
          <w:b/>
          <w:sz w:val="24"/>
        </w:rPr>
        <w:t>[</w:t>
      </w:r>
      <w:r>
        <w:rPr>
          <w:rFonts w:ascii="Times New Roman" w:hAnsi="Times New Roman" w:eastAsia="Times New Roman" w:cs="Times New Roman"/>
          <w:b/>
          <w:sz w:val="24"/>
        </w:rPr>
        <w:t>Short form:</w:t>
      </w:r>
      <w:r>
        <w:rPr>
          <w:rFonts w:ascii="Times New Roman" w:hAnsi="Times New Roman" w:eastAsia="Times New Roman" w:cs="Times New Roman"/>
          <w:b/>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Indemnification of Directors.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Corporation is authorized, to the fullest extent permissible under California law, to indemnify its agents (as defined in Corp. Code § 317), whether by bylaw, agreement, or otherwise, for breach of duty to this Corporation and its shareholders in excess of that expressly permitted by Corp. Code § 317, and to advance defense expenses to its agents in connection with such matters as those expenses are incurred. If, after the effective date of this Article, California law is amended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manner that permits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 to limit the monetary or other liability of its directors or to authorize indemnification of, or advancement of those defense expenses to, its directors or other persons, in any such case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greater extent than is permitted on the effective date of this Article, the references in this Article to "California law" shall to that extent be deemed to refer to California law as so amended. Any repeal or modification of this Article shall not adversely affect any right of indemnification or limitation of liability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agent of this corporation relating to actions or omissions prior to that repeal or modification.</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