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Bargain and Sale Deed without Covenants Against Grantor’s Acts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[name and address of the grantor/transferor] party of the first part, and [name and address of the grantee/transferee] 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in consideration of [amount of consideration] dollars paid by the party of the second part, does hereby grant and release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required property identification information from the title report or prior deed recording information and property identification (street address and tax map identification)],</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p>
    <w:p>
      <w:pPr>
        <w:keepNext w:val="0"/>
        <w:spacing w:before="120" w:after="0" w:line="260" w:lineRule="exact"/>
        <w:ind w:left="360" w:right="0" w:firstLine="0"/>
        <w:jc w:val="left"/>
      </w:pPr>
      <w:r>
        <w:rPr>
          <w:rFonts w:ascii="Times New Roman" w:hAnsi="Times New Roman" w:eastAsia="Times New Roman" w:cs="Times New Roman"/>
          <w:b/>
          <w:sz w:val="24"/>
        </w:rPr>
        <w:t>TO BE USED ONLY WHEN THE ACKNOWLEDGMENT IS MADE IN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sz w:val="24"/>
        </w:rPr>
        <w:t>TO BE USED ONLY WHEN THE ACKNOWLEDGMENT IS MADE OUTSIDE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(or District of Columbia, Territory, or Foreign Country) of [name of state] [name of county, if applicable],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[city or other political subdivision and the state or country or other place the acknowledgment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BARGAIN AND SALE DEED, WITHOUT COVENANT AGAINST GRANTOR’S ACTS</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360" w:right="0" w:firstLine="0"/>
        <w:jc w:val="left"/>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