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Bereavement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[who have completed their probationary period] may have up to three consecutive working days off, with pay, to arrange for and attend the funeral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family member.</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For purposes of this policy,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“immediate family” is defined to include the employee’s current spouse, domestic partner, parent, step-parent, parent-in-law, sibling, child, step-child, grandparent, and grandchild.</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[Regular, full-time] Employees will be paid their regular base rate of pay for each day of absence taken as bereavement leave. [All other employees who do not qualify for bereavement leave may, upon request, be allowed to take up to three days of unpaid bereavement leave.] [Bereavement leave will not be deducted from any other earned leave and shall be noted as bereavement leave in the employee’s leave records.]</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To request time off for bereavement leave, the employee should contact [his or her supervisor or] the Human Resources Department.</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requires more than three days off for bereavement leave, the employee may request additional unpaid leave or the opportunity to use accrued [sick or] vacation time. Bereavement leave shall be non-cumulative from year to year.</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reserves the right to request verification of the need for bereavement leave. Any employee who abuses this policy will be subject to disciplinary action, up to and including termination of employment.</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distribute and implement this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you have any questions about any provisions of this policy, please contact the Human Resources Department for more information.</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read, understand, and will abide by the Company’s Bereavement Leave Policy.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Employee’s Printed Name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