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607.0821 of the Florida Business Corporation Act,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and all of the actions taken and resolutions set forth herein shall have the same force and effect as if they were taken or adopted at such [special] meeting. This written consent is executed on the dates written beside each director’s name and will be effective immediately upon the later of such dates, and will be filed in the Corporation’s minute book or corporate records.</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officers/insert titles of appropriate corporate officers to be authorized, e.g., Chief Executive Officer, President, etc.] of the Corporation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Corporation,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director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directors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