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[Company Name]</w:t>
      </w:r>
      <w:r>
        <w:rPr>
          <w:rFonts w:ascii="Times New Roman" w:hAnsi="Times New Roman" w:eastAsia="Times New Roman" w:cs="Times New Roman"/>
          <w:sz w:val="24"/>
        </w:rPr>
        <w:br/>
        <w:t>Action by Unanimous Written Consent</w:t>
      </w:r>
      <w:r>
        <w:rPr>
          <w:rFonts w:ascii="Times New Roman" w:hAnsi="Times New Roman" w:eastAsia="Times New Roman" w:cs="Times New Roman"/>
          <w:sz w:val="24"/>
        </w:rPr>
        <w:br/>
        <w:t>of the Board of Directors</w:t>
      </w:r>
    </w:p>
    <w:p>
      <w:pPr/>
      <w:r>
        <w:rPr>
          <w:rFonts w:ascii="Times New Roman" w:hAnsi="Times New Roman" w:eastAsia="Times New Roman" w:cs="Times New Roman"/>
          <w:sz w:val="24"/>
        </w:rPr>
        <w:t xml:space="preserve">In accordance with the Bylaws of </w:t>
      </w:r>
      <w:r>
        <w:rPr>
          <w:rFonts w:ascii="Times New Roman" w:hAnsi="Times New Roman" w:eastAsia="Times New Roman" w:cs="Times New Roman"/>
          <w:sz w:val="24"/>
        </w:rPr>
        <w:t>[</w:t>
      </w:r>
      <w:r>
        <w:rPr>
          <w:rFonts w:ascii="Times New Roman" w:hAnsi="Times New Roman" w:eastAsia="Times New Roman" w:cs="Times New Roman"/>
          <w:sz w:val="24"/>
        </w:rPr>
        <w:t xml:space="preserve">Company name], a </w:t>
      </w:r>
      <w:r>
        <w:rPr>
          <w:rFonts w:ascii="Times New Roman" w:hAnsi="Times New Roman" w:eastAsia="Times New Roman" w:cs="Times New Roman"/>
          <w:sz w:val="24"/>
        </w:rPr>
        <w:t>[</w:t>
      </w:r>
      <w:r>
        <w:rPr>
          <w:rFonts w:ascii="Times New Roman" w:hAnsi="Times New Roman" w:eastAsia="Times New Roman" w:cs="Times New Roman"/>
          <w:sz w:val="24"/>
        </w:rPr>
        <w:t>State where Company is incorporated] corporation (the “Company”), the undersigned, constituting all of the members of the Company’s Board of Directors (the “Board”), hereby unanimously adopt the following resolutions, and do hereby consent to the taking of the actions set forth herein effective as of the date of execution set forth below:</w:t>
      </w:r>
    </w:p>
    <w:p>
      <w:pPr/>
      <w:r>
        <w:rPr>
          <w:rFonts w:ascii="Times New Roman" w:hAnsi="Times New Roman" w:eastAsia="Times New Roman" w:cs="Times New Roman"/>
          <w:sz w:val="24"/>
        </w:rPr>
        <w:t>Approval of the Simple Agreement for Future Equity</w:t>
      </w:r>
      <w:r>
        <w:rPr>
          <w:rFonts w:ascii="Times New Roman" w:hAnsi="Times New Roman" w:eastAsia="Times New Roman" w:cs="Times New Roman"/>
          <w:sz w:val="24"/>
        </w:rPr>
        <w:t xml:space="preserve"> (SAFE)</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the Authorized Officers set forth on EXHIBIT ONE be, and each of them acting singly hereby is, authorized, directed and empowered, in the name and on behalf of the Company to negotiate, execute and deliver a SAFE</w:t>
      </w:r>
      <w:r>
        <w:rPr>
          <w:rFonts w:ascii="Times New Roman" w:hAnsi="Times New Roman" w:eastAsia="Times New Roman" w:cs="Times New Roman"/>
          <w:sz w:val="24"/>
        </w:rPr>
        <w:t xml:space="preserve"> </w:t>
      </w:r>
      <w:r>
        <w:rPr>
          <w:rFonts w:ascii="Times New Roman" w:hAnsi="Times New Roman" w:eastAsia="Times New Roman" w:cs="Times New Roman"/>
          <w:sz w:val="24"/>
        </w:rPr>
        <w:t>in substantially the form as set forth in APPENDIX ONE and on such terms and conditions as the Authorized Officers determine is in the best interests of the Company;</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the form, terms and provisions of the SAFE be, and the same hereby are, authorized, adopted and approved;</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the Authorized Officers be, and each of them acting singly hereby is, authorized, directed and empowered, in the name and on behalf of the Company, to finalize and deliver the SAFE, with such changes thereto as any of the Authorized Officers may in his or her sole discretion determine to be necessary or appropriate, such determination to be conclusively evidenced by his or her execution and delivery thereof;</w:t>
      </w:r>
    </w:p>
    <w:p>
      <w:pPr/>
      <w:r>
        <w:rPr>
          <w:rFonts w:ascii="Times New Roman" w:hAnsi="Times New Roman" w:eastAsia="Times New Roman" w:cs="Times New Roman"/>
          <w:sz w:val="24"/>
        </w:rPr>
        <w:t>General Authorization</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the Authorized Officers be, and each of them acting singly hereby is, authorized and directed to take all such further actions, to execute, deliver and file all such further instruments and documents, and to do all such further things, in the name and on behalf of the Company and under its corporate seal or otherwise, and to pay all such fees, expenses and taxes, as in any Authorized Officer’s judgment may be necessary or advisable in order to carry out fully the intent and accomplish the purposes of the foregoing resolutions;</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each act, action, agreement, document or instrument done, performed, made, executed or delivered by, in the name or on behalf of the Company prior to the date hereof in connection with the matters contemplated by the foregoing resolutions be, and each of the same hereby is, ratified, confirmed, authorized and approved; and</w:t>
      </w:r>
    </w:p>
    <w:p>
      <w:pPr/>
      <w:r>
        <w:rPr>
          <w:rFonts w:ascii="Times New Roman" w:hAnsi="Times New Roman" w:eastAsia="Times New Roman" w:cs="Times New Roman"/>
          <w:b/>
          <w:sz w:val="24"/>
        </w:rPr>
        <w:t>RESOLVED,</w:t>
      </w:r>
      <w:r>
        <w:rPr>
          <w:rFonts w:ascii="Times New Roman" w:hAnsi="Times New Roman" w:eastAsia="Times New Roman" w:cs="Times New Roman"/>
          <w:sz w:val="24"/>
        </w:rPr>
        <w:t xml:space="preserve"> that this consent may be executed in multiple counterparts, which taken together shall constitute one instrument.</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xml:space="preserve"> the undersigned have executed this Action by Unanimous Written Consent of the Board of Directors as of the date set forth below opposite his name, which may be executed in one or more counterparts, each of which shall be deemed an original, and all of which shall constitute one and the same instrument.</w:t>
      </w:r>
    </w:p>
    <w:p>
      <w:pPr/>
      <w:r>
        <w:rPr>
          <w:rFonts w:ascii="Times New Roman" w:hAnsi="Times New Roman" w:eastAsia="Times New Roman" w:cs="Times New Roman"/>
          <w:sz w:val="24"/>
        </w:rPr>
        <w:t>This action shall be filed with the minutes of the proceedings of this Board of Directors and shall be effective as of the last date of execution below. Any copy, facsimile or other reliable reproduction of this action may be substituted or used in lieu of the original writing for any and all purposes for which the original writing could be used, provided that such copy, facsimile or other reproduction be a complete reproduction of the entire original writing.</w:t>
      </w:r>
    </w:p>
    <w:p>
      <w:pPr/>
    </w:p>
    <w:p>
      <w:pPr/>
    </w:p>
    <w:p>
      <w:pPr/>
    </w:p>
    <w:p>
      <w:pPr>
        <w:jc w:val="center"/>
      </w:pPr>
      <w:r>
        <w:rPr>
          <w:rFonts w:ascii="Times New Roman" w:hAnsi="Times New Roman" w:eastAsia="Times New Roman" w:cs="Times New Roman"/>
          <w:sz w:val="24"/>
        </w:rPr>
        <w:t>Exhibit One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[Schedule of Authorized Officers]</w:t>
      </w:r>
    </w:p>
    <w:p>
      <w:pPr/>
    </w:p>
    <w:p>
      <w:pPr/>
    </w:p>
    <w:p>
      <w:pPr>
        <w:jc w:val="center"/>
      </w:pPr>
      <w:r>
        <w:rPr>
          <w:rFonts w:ascii="Times New Roman" w:hAnsi="Times New Roman" w:eastAsia="Times New Roman" w:cs="Times New Roman"/>
          <w:b/>
          <w:sz w:val="24"/>
        </w:rPr>
        <w:t>Appendix One</w:t>
      </w:r>
    </w:p>
    <w:p>
      <w:pPr/>
      <w:r>
        <w:rPr>
          <w:rFonts w:ascii="Times New Roman" w:hAnsi="Times New Roman" w:eastAsia="Times New Roman" w:cs="Times New Roman"/>
          <w:sz w:val="24"/>
        </w:rPr>
        <w:t>THIS INSTRUMENT AND ANY SECURITIES ISSUABLE PURSUANT HERETO HAVE NOT BEEN REGISTERED UNDER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sz w:val="24"/>
        </w:rPr>
        <w:t>”), OR UNDER THE SECU</w:t>
      </w:r>
      <w:r>
        <w:rPr>
          <w:rFonts w:ascii="Times New Roman" w:hAnsi="Times New Roman" w:eastAsia="Times New Roman" w:cs="Times New Roman"/>
          <w:sz w:val="24"/>
        </w:rPr>
        <w:t xml:space="preserve">RITIES LAWS OF CERTAIN STATES. </w:t>
      </w:r>
      <w:r>
        <w:rPr>
          <w:rFonts w:ascii="Times New Roman" w:hAnsi="Times New Roman" w:eastAsia="Times New Roman" w:cs="Times New Roman"/>
          <w:sz w:val="24"/>
        </w:rPr>
        <w:t>THESE SECURITIES MAY NOT BE OFFERED, SOLD OR OTHERWISE TRANSFERRED, PLEDGED OR HYPOTHECATED EXCEPT AS PERMITTED UNDER THE ACT AND APPLICABLE STATE SECURITIES LAWS PURSUANT TO AN EFFECTIVE REGISTRATION STATEMENT OR AN EXEMPTION THEREFROM.</w:t>
      </w:r>
    </w:p>
    <w:p>
      <w:pPr/>
      <w:r>
        <w:rPr>
          <w:rFonts w:ascii="Times New Roman" w:hAnsi="Times New Roman" w:eastAsia="Times New Roman" w:cs="Times New Roman"/>
          <w:b/>
          <w:sz w:val="24"/>
        </w:rPr>
        <w:t>[COMPANY NAME]</w:t>
      </w:r>
    </w:p>
    <w:p>
      <w:pPr/>
      <w:r>
        <w:rPr>
          <w:rFonts w:ascii="Times New Roman" w:hAnsi="Times New Roman" w:eastAsia="Times New Roman" w:cs="Times New Roman"/>
          <w:sz w:val="24"/>
        </w:rPr>
        <w:t>Simple Agreement for Future Equity</w:t>
      </w:r>
      <w:r>
        <w:rPr>
          <w:rFonts w:ascii="Times New Roman" w:hAnsi="Times New Roman" w:eastAsia="Times New Roman" w:cs="Times New Roman"/>
          <w:sz w:val="24"/>
        </w:rPr>
        <w:t xml:space="preserve"> (SAFE</w:t>
      </w:r>
      <w:r>
        <w:rPr>
          <w:rFonts w:ascii="Times New Roman" w:hAnsi="Times New Roman" w:eastAsia="Times New Roman" w:cs="Times New Roman"/>
          <w:sz w:val="24"/>
        </w:rPr>
        <w:t>)</w:t>
      </w:r>
    </w:p>
    <w:p>
      <w:pPr/>
      <w:r>
        <w:rPr>
          <w:rFonts w:ascii="Times New Roman" w:hAnsi="Times New Roman" w:eastAsia="Times New Roman" w:cs="Times New Roman"/>
          <w:sz w:val="24"/>
        </w:rPr>
        <w:t>THIS CERTIFIES THAT in exchange for the payment by [Investor Name] (the “</w:t>
      </w:r>
      <w:r>
        <w:rPr>
          <w:rFonts w:ascii="Times New Roman" w:hAnsi="Times New Roman" w:eastAsia="Times New Roman" w:cs="Times New Roman"/>
          <w:b/>
          <w:sz w:val="24"/>
        </w:rPr>
        <w:t>Investor</w:t>
      </w:r>
      <w:r>
        <w:rPr>
          <w:rFonts w:ascii="Times New Roman" w:hAnsi="Times New Roman" w:eastAsia="Times New Roman" w:cs="Times New Roman"/>
          <w:sz w:val="24"/>
        </w:rPr>
        <w:t>”) of $[</w:t>
      </w:r>
      <w:r>
        <w:rPr>
          <w:rFonts w:ascii="Times New Roman" w:hAnsi="Times New Roman" w:eastAsia="Times New Roman" w:cs="Times New Roman"/>
          <w:sz w:val="24"/>
        </w:rPr>
        <w:t>_____</w:t>
      </w:r>
      <w:r>
        <w:rPr>
          <w:rFonts w:ascii="Times New Roman" w:hAnsi="Times New Roman" w:eastAsia="Times New Roman" w:cs="Times New Roman"/>
          <w:sz w:val="24"/>
        </w:rPr>
        <w:t>] (the “</w:t>
      </w:r>
      <w:r>
        <w:rPr>
          <w:rFonts w:ascii="Times New Roman" w:hAnsi="Times New Roman" w:eastAsia="Times New Roman" w:cs="Times New Roman"/>
          <w:b/>
          <w:sz w:val="24"/>
        </w:rPr>
        <w:t>Purchase Amount</w:t>
      </w:r>
      <w:r>
        <w:rPr>
          <w:rFonts w:ascii="Times New Roman" w:hAnsi="Times New Roman" w:eastAsia="Times New Roman" w:cs="Times New Roman"/>
          <w:sz w:val="24"/>
        </w:rPr>
        <w:t>”) on or about [Date of S</w:t>
      </w:r>
      <w:r>
        <w:rPr>
          <w:rFonts w:ascii="Times New Roman" w:hAnsi="Times New Roman" w:eastAsia="Times New Roman" w:cs="Times New Roman"/>
          <w:sz w:val="24"/>
        </w:rPr>
        <w:t>AFE</w:t>
      </w:r>
      <w:r>
        <w:rPr>
          <w:rFonts w:ascii="Times New Roman" w:hAnsi="Times New Roman" w:eastAsia="Times New Roman" w:cs="Times New Roman"/>
          <w:sz w:val="24"/>
        </w:rPr>
        <w:t>], [Company Name], a [State of Incorporation] corporation (the “</w:t>
      </w:r>
      <w:r>
        <w:rPr>
          <w:rFonts w:ascii="Times New Roman" w:hAnsi="Times New Roman" w:eastAsia="Times New Roman" w:cs="Times New Roman"/>
          <w:b/>
          <w:sz w:val="24"/>
        </w:rPr>
        <w:t>Company</w:t>
      </w:r>
      <w:r>
        <w:rPr>
          <w:rFonts w:ascii="Times New Roman" w:hAnsi="Times New Roman" w:eastAsia="Times New Roman" w:cs="Times New Roman"/>
          <w:sz w:val="24"/>
        </w:rPr>
        <w:t>”), hereby issues to the Investor the right to certain shares of the Company’s capital stock, subject to the terms set forth below.</w:t>
      </w:r>
    </w:p>
    <w:p>
      <w:pPr/>
      <w:r>
        <w:rPr>
          <w:rFonts w:ascii="Times New Roman" w:hAnsi="Times New Roman" w:eastAsia="Times New Roman" w:cs="Times New Roman"/>
          <w:sz w:val="24"/>
        </w:rPr>
        <w:t>Events</w:t>
      </w:r>
      <w:r>
        <w:rPr>
          <w:rFonts w:ascii="Times New Roman" w:hAnsi="Times New Roman" w:eastAsia="Times New Roman" w:cs="Times New Roman"/>
          <w:sz w:val="24"/>
        </w:rPr>
        <w:t>.</w:t>
      </w:r>
    </w:p>
    <w:p>
      <w:pPr/>
      <w:r>
        <w:rPr>
          <w:rFonts w:ascii="Times New Roman" w:hAnsi="Times New Roman" w:eastAsia="Times New Roman" w:cs="Times New Roman"/>
          <w:sz w:val="24"/>
        </w:rPr>
        <w:t>Equity Financing.</w:t>
      </w:r>
      <w:r>
        <w:rPr>
          <w:rFonts w:ascii="Times New Roman" w:hAnsi="Times New Roman" w:eastAsia="Times New Roman" w:cs="Times New Roman"/>
          <w:sz w:val="24"/>
        </w:rPr>
        <w:t xml:space="preserve"> </w:t>
      </w:r>
      <w:r>
        <w:rPr>
          <w:rFonts w:ascii="Times New Roman" w:hAnsi="Times New Roman" w:eastAsia="Times New Roman" w:cs="Times New Roman"/>
          <w:sz w:val="24"/>
        </w:rPr>
        <w:t>If there is an Equity Financing before the expiration or termination of this instrument, the Company will automatically issue to the Investor a number of shares of Preferred Stock sold in the Equity Financing equal to the Purchase Amount divided by the price per share of the Preferred Stock.</w:t>
      </w:r>
    </w:p>
    <w:p>
      <w:pPr/>
      <w:r>
        <w:rPr>
          <w:rFonts w:ascii="Times New Roman" w:hAnsi="Times New Roman" w:eastAsia="Times New Roman" w:cs="Times New Roman"/>
          <w:sz w:val="24"/>
        </w:rPr>
        <w:t xml:space="preserve">In connection with the issuance of such shares of Preferred Stock to the Investor pursuant to this Section </w:t>
      </w:r>
      <w:r>
        <w:rPr>
          <w:rFonts w:ascii="Times New Roman" w:hAnsi="Times New Roman" w:eastAsia="Times New Roman" w:cs="Times New Roman"/>
          <w:sz w:val="24"/>
        </w:rPr>
        <w:t>1(a)</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The Investor will execute and deliver to the Company all transaction documents related to the Equity Financing; </w:t>
      </w:r>
      <w:r>
        <w:rPr>
          <w:rFonts w:ascii="Times New Roman" w:hAnsi="Times New Roman" w:eastAsia="Times New Roman" w:cs="Times New Roman"/>
          <w:sz w:val="24"/>
        </w:rPr>
        <w:t>provided</w:t>
      </w:r>
      <w:r>
        <w:rPr>
          <w:rFonts w:ascii="Times New Roman" w:hAnsi="Times New Roman" w:eastAsia="Times New Roman" w:cs="Times New Roman"/>
          <w:sz w:val="24"/>
        </w:rPr>
        <w:t xml:space="preserve">, that such documents are the same documents to be entered into with the purchasers of Preferred Stock, and </w:t>
      </w:r>
      <w:r>
        <w:rPr>
          <w:rFonts w:ascii="Times New Roman" w:hAnsi="Times New Roman" w:eastAsia="Times New Roman" w:cs="Times New Roman"/>
          <w:sz w:val="24"/>
        </w:rPr>
        <w:t>provided further</w:t>
      </w:r>
      <w:r>
        <w:rPr>
          <w:rFonts w:ascii="Times New Roman" w:hAnsi="Times New Roman" w:eastAsia="Times New Roman" w:cs="Times New Roman"/>
          <w:sz w:val="24"/>
        </w:rPr>
        <w:t>, that such documents have customary exceptions to any drag-along applicable to the Investor, including, without limitation, limited representations and warranties and limited liability and indemnification obligations on the part of the Investor; and</w:t>
      </w:r>
    </w:p>
    <w:p>
      <w:pPr/>
      <w:r>
        <w:rPr>
          <w:rFonts w:ascii="Times New Roman" w:hAnsi="Times New Roman" w:eastAsia="Times New Roman" w:cs="Times New Roman"/>
          <w:sz w:val="24"/>
        </w:rPr>
        <w:t>The Investor and the Company will execute a Pro Rata Rights Agreement, unless the Investor is already included in such rights in the transaction documents related to the Equity Financing.</w:t>
      </w:r>
    </w:p>
    <w:p>
      <w:pPr/>
      <w:r>
        <w:rPr>
          <w:rFonts w:ascii="Times New Roman" w:hAnsi="Times New Roman" w:eastAsia="Times New Roman" w:cs="Times New Roman"/>
          <w:sz w:val="24"/>
        </w:rPr>
        <w:t>Liquidity Event.</w:t>
      </w:r>
      <w:r>
        <w:rPr>
          <w:rFonts w:ascii="Times New Roman" w:hAnsi="Times New Roman" w:eastAsia="Times New Roman" w:cs="Times New Roman"/>
          <w:sz w:val="24"/>
        </w:rPr>
        <w:t xml:space="preserve"> </w:t>
      </w:r>
      <w:r>
        <w:rPr>
          <w:rFonts w:ascii="Times New Roman" w:hAnsi="Times New Roman" w:eastAsia="Times New Roman" w:cs="Times New Roman"/>
          <w:sz w:val="24"/>
        </w:rPr>
        <w:t>If there is a Liquidity Event before the expiration or termination of this instrument, the Investor will, at its option, either (i) receive a cash payment equal to the Purchase Amount (subject to the following paragraph) or (ii) automatically receive from the Company a number of shares of Common Stock equal to the Purchase Amount divided by the fair market value of the Common Stock at the time of the Liquidity Event (determined by reference to the purchase price payable in connection with such Liquidity Event) (the “</w:t>
      </w:r>
      <w:r>
        <w:rPr>
          <w:rFonts w:ascii="Times New Roman" w:hAnsi="Times New Roman" w:eastAsia="Times New Roman" w:cs="Times New Roman"/>
          <w:b/>
          <w:sz w:val="24"/>
        </w:rPr>
        <w:t>Liquidity Price</w:t>
      </w:r>
      <w:r>
        <w:rPr>
          <w:rFonts w:ascii="Times New Roman" w:hAnsi="Times New Roman" w:eastAsia="Times New Roman" w:cs="Times New Roman"/>
          <w:sz w:val="24"/>
        </w:rPr>
        <w:t>”), if the Investor fails to select the cash option.</w:t>
      </w:r>
    </w:p>
    <w:p>
      <w:pPr/>
      <w:r>
        <w:rPr>
          <w:rFonts w:ascii="Times New Roman" w:hAnsi="Times New Roman" w:eastAsia="Times New Roman" w:cs="Times New Roman"/>
          <w:sz w:val="24"/>
        </w:rPr>
        <w:t xml:space="preserve">In connection with Section </w:t>
      </w:r>
      <w:r>
        <w:rPr>
          <w:rFonts w:ascii="Times New Roman" w:hAnsi="Times New Roman" w:eastAsia="Times New Roman" w:cs="Times New Roman"/>
          <w:sz w:val="24"/>
        </w:rPr>
        <w:t>1(b)</w:t>
      </w:r>
      <w:r>
        <w:rPr>
          <w:rFonts w:ascii="Times New Roman" w:hAnsi="Times New Roman" w:eastAsia="Times New Roman" w:cs="Times New Roman"/>
          <w:sz w:val="24"/>
        </w:rPr>
        <w:t>(i), the Purchase Amount will be due and payable by the Company to the Investor immediately prior to, or concurrent with, the consummation of the Liquidity Event. If there are not enough funds to pay the Investor and holders of other Safes (collectively, the “</w:t>
      </w:r>
      <w:r>
        <w:rPr>
          <w:rFonts w:ascii="Times New Roman" w:hAnsi="Times New Roman" w:eastAsia="Times New Roman" w:cs="Times New Roman"/>
          <w:b/>
          <w:sz w:val="24"/>
        </w:rPr>
        <w:t>Cash-Out Investors</w:t>
      </w:r>
      <w:r>
        <w:rPr>
          <w:rFonts w:ascii="Times New Roman" w:hAnsi="Times New Roman" w:eastAsia="Times New Roman" w:cs="Times New Roman"/>
          <w:sz w:val="24"/>
        </w:rPr>
        <w:t xml:space="preserve">”) in full, then all of the Company’s available funds will be distributed with equal priority and </w:t>
      </w:r>
      <w:r>
        <w:rPr>
          <w:rFonts w:ascii="Times New Roman" w:hAnsi="Times New Roman" w:eastAsia="Times New Roman" w:cs="Times New Roman"/>
          <w:sz w:val="24"/>
        </w:rPr>
        <w:t>pro rata</w:t>
      </w:r>
      <w:r>
        <w:rPr>
          <w:rFonts w:ascii="Times New Roman" w:hAnsi="Times New Roman" w:eastAsia="Times New Roman" w:cs="Times New Roman"/>
          <w:sz w:val="24"/>
        </w:rPr>
        <w:t xml:space="preserve"> among the Cash-Out Investors in proportion to their Purchase Amounts, and the Cash-Out Investors will automatically receive the number of shares of Common Stock equal to the remaining unpaid Purchase Amount divided</w:t>
      </w:r>
      <w:r>
        <w:rPr>
          <w:rFonts w:ascii="Times New Roman" w:hAnsi="Times New Roman" w:eastAsia="Times New Roman" w:cs="Times New Roman"/>
          <w:sz w:val="24"/>
        </w:rPr>
        <w:t xml:space="preserve"> by the Liquidity Price. </w:t>
      </w:r>
      <w:r>
        <w:rPr>
          <w:rFonts w:ascii="Times New Roman" w:hAnsi="Times New Roman" w:eastAsia="Times New Roman" w:cs="Times New Roman"/>
          <w:sz w:val="24"/>
        </w:rPr>
        <w:t xml:space="preserve">In connection with a Change of Control intended to qualify as a tax-free reorganization, the Company may reduce, </w:t>
      </w:r>
      <w:r>
        <w:rPr>
          <w:rFonts w:ascii="Times New Roman" w:hAnsi="Times New Roman" w:eastAsia="Times New Roman" w:cs="Times New Roman"/>
          <w:sz w:val="24"/>
        </w:rPr>
        <w:t>pro rata</w:t>
      </w:r>
      <w:r>
        <w:rPr>
          <w:rFonts w:ascii="Times New Roman" w:hAnsi="Times New Roman" w:eastAsia="Times New Roman" w:cs="Times New Roman"/>
          <w:sz w:val="24"/>
        </w:rPr>
        <w:t xml:space="preserve">, the Purchase Amounts payable to the Cash-Out Investors by the amount determined by its board of directors in good faith to be advisable for such Change of Control to qualify as a tax-free reorganization for </w:t>
      </w:r>
      <w:r>
        <w:rPr>
          <w:rFonts w:ascii="Times New Roman" w:hAnsi="Times New Roman" w:eastAsia="Times New Roman" w:cs="Times New Roman"/>
          <w:sz w:val="24"/>
        </w:rPr>
        <w:t>U. S</w:t>
      </w:r>
      <w:r>
        <w:rPr>
          <w:rFonts w:ascii="Times New Roman" w:hAnsi="Times New Roman" w:eastAsia="Times New Roman" w:cs="Times New Roman"/>
          <w:sz w:val="24"/>
        </w:rPr>
        <w:t>. federal income tax purposes, and in such case, the Cash-Out Investors will automatically receive the number of shares of Common Stock equal to the remaining unpaid Purchase Amount divided by the Liquidity Price.</w:t>
      </w:r>
    </w:p>
    <w:p>
      <w:pPr/>
      <w:r>
        <w:rPr>
          <w:rFonts w:ascii="Times New Roman" w:hAnsi="Times New Roman" w:eastAsia="Times New Roman" w:cs="Times New Roman"/>
          <w:sz w:val="24"/>
        </w:rPr>
        <w:t>Dissolution Event.</w:t>
      </w:r>
      <w:r>
        <w:rPr>
          <w:rFonts w:ascii="Times New Roman" w:hAnsi="Times New Roman" w:eastAsia="Times New Roman" w:cs="Times New Roman"/>
          <w:sz w:val="24"/>
        </w:rPr>
        <w:t xml:space="preserve"> </w:t>
      </w:r>
      <w:r>
        <w:rPr>
          <w:rFonts w:ascii="Times New Roman" w:hAnsi="Times New Roman" w:eastAsia="Times New Roman" w:cs="Times New Roman"/>
          <w:sz w:val="24"/>
        </w:rPr>
        <w:t>If there is a Dissolution Event before this instrument expires or terminates, the Company will pay an amount equal to the Purchase Amount, due and payable to the Investor immediately prior to, or concurrent with, the consummation of the Dissolution Event. The Purchase Amount will be paid prior and in preference to any Distribution of any of the assets of the Company to holders of outstanding Capital Stock by reason of their ownership thereof. If immediately prior to the consummation of the Dissolution Event, the assets of the Company legally available for distribution to the Investor and all holders of all other Safes (the “</w:t>
      </w:r>
      <w:r>
        <w:rPr>
          <w:rFonts w:ascii="Times New Roman" w:hAnsi="Times New Roman" w:eastAsia="Times New Roman" w:cs="Times New Roman"/>
          <w:b/>
          <w:sz w:val="24"/>
        </w:rPr>
        <w:t>Dissolving Investors</w:t>
      </w:r>
      <w:r>
        <w:rPr>
          <w:rFonts w:ascii="Times New Roman" w:hAnsi="Times New Roman" w:eastAsia="Times New Roman" w:cs="Times New Roman"/>
          <w:sz w:val="24"/>
        </w:rPr>
        <w:t xml:space="preserve">”), as determined in good faith by the Company’s board of directors, are insufficient to permit the payment to the Dissolving Investors of their respective Purchase Amounts, then the entire assets of the Company legally available for distribution will be distributed with equal priority and </w:t>
      </w:r>
      <w:r>
        <w:rPr>
          <w:rFonts w:ascii="Times New Roman" w:hAnsi="Times New Roman" w:eastAsia="Times New Roman" w:cs="Times New Roman"/>
          <w:sz w:val="24"/>
        </w:rPr>
        <w:t>pro rata</w:t>
      </w:r>
      <w:r>
        <w:rPr>
          <w:rFonts w:ascii="Times New Roman" w:hAnsi="Times New Roman" w:eastAsia="Times New Roman" w:cs="Times New Roman"/>
          <w:sz w:val="24"/>
        </w:rPr>
        <w:t xml:space="preserve"> among the Dissolving Investors in proportion to the Purchase Amounts they would otherwise be entitled to receive pursuant to this Section </w:t>
      </w:r>
      <w:r>
        <w:rPr>
          <w:rFonts w:ascii="Times New Roman" w:hAnsi="Times New Roman" w:eastAsia="Times New Roman" w:cs="Times New Roman"/>
          <w:sz w:val="24"/>
        </w:rPr>
        <w:t>1(c)</w:t>
      </w:r>
      <w:r>
        <w:rPr>
          <w:rFonts w:ascii="Times New Roman" w:hAnsi="Times New Roman" w:eastAsia="Times New Roman" w:cs="Times New Roman"/>
          <w:sz w:val="24"/>
        </w:rPr>
        <w:t>.</w:t>
      </w:r>
    </w:p>
    <w:p>
      <w:pPr/>
      <w:r>
        <w:rPr>
          <w:rFonts w:ascii="Times New Roman" w:hAnsi="Times New Roman" w:eastAsia="Times New Roman" w:cs="Times New Roman"/>
          <w:sz w:val="24"/>
        </w:rPr>
        <w:t>Termination.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This instrument will expire and terminate (without relieving the Company of any obligations arising from a prior breach of or non-compliance with this instrument) upon either (i) the issuance of stock to the Investor pursuant to Section </w:t>
      </w:r>
      <w:r>
        <w:rPr>
          <w:rFonts w:ascii="Times New Roman" w:hAnsi="Times New Roman" w:eastAsia="Times New Roman" w:cs="Times New Roman"/>
          <w:sz w:val="24"/>
        </w:rPr>
        <w:t>1(a)</w:t>
      </w:r>
      <w:r>
        <w:rPr>
          <w:rFonts w:ascii="Times New Roman" w:hAnsi="Times New Roman" w:eastAsia="Times New Roman" w:cs="Times New Roman"/>
          <w:sz w:val="24"/>
        </w:rPr>
        <w:t xml:space="preserve"> or Section </w:t>
      </w:r>
      <w:r>
        <w:rPr>
          <w:rFonts w:ascii="Times New Roman" w:hAnsi="Times New Roman" w:eastAsia="Times New Roman" w:cs="Times New Roman"/>
          <w:sz w:val="24"/>
        </w:rPr>
        <w:t>1(b)</w:t>
      </w:r>
      <w:r>
        <w:rPr>
          <w:rFonts w:ascii="Times New Roman" w:hAnsi="Times New Roman" w:eastAsia="Times New Roman" w:cs="Times New Roman"/>
          <w:sz w:val="24"/>
        </w:rPr>
        <w:t xml:space="preserve">(ii); or (ii) the payment, or setting aside for payment, of amounts due the Investor pursuant to Section </w:t>
      </w:r>
      <w:r>
        <w:rPr>
          <w:rFonts w:ascii="Times New Roman" w:hAnsi="Times New Roman" w:eastAsia="Times New Roman" w:cs="Times New Roman"/>
          <w:sz w:val="24"/>
        </w:rPr>
        <w:t>1(b)</w:t>
      </w:r>
      <w:r>
        <w:rPr>
          <w:rFonts w:ascii="Times New Roman" w:hAnsi="Times New Roman" w:eastAsia="Times New Roman" w:cs="Times New Roman"/>
          <w:sz w:val="24"/>
        </w:rPr>
        <w:t xml:space="preserve">(i) or Section </w:t>
      </w:r>
      <w:r>
        <w:rPr>
          <w:rFonts w:ascii="Times New Roman" w:hAnsi="Times New Roman" w:eastAsia="Times New Roman" w:cs="Times New Roman"/>
          <w:sz w:val="24"/>
        </w:rPr>
        <w:t>1(c)</w:t>
      </w:r>
      <w:r>
        <w:rPr>
          <w:rFonts w:ascii="Times New Roman" w:hAnsi="Times New Roman" w:eastAsia="Times New Roman" w:cs="Times New Roman"/>
          <w:sz w:val="24"/>
        </w:rPr>
        <w:t>.</w:t>
      </w:r>
    </w:p>
    <w:p>
      <w:pPr/>
      <w:r>
        <w:rPr>
          <w:rFonts w:ascii="Times New Roman" w:hAnsi="Times New Roman" w:eastAsia="Times New Roman" w:cs="Times New Roman"/>
          <w:sz w:val="24"/>
        </w:rPr>
        <w:t>Definitions</w:t>
      </w:r>
      <w:r>
        <w:rPr>
          <w:rFonts w:ascii="Times New Roman" w:hAnsi="Times New Roman" w:eastAsia="Times New Roman" w:cs="Times New Roman"/>
          <w:sz w:val="24"/>
        </w:rPr>
        <w:t>.</w:t>
      </w:r>
    </w:p>
    <w:p>
      <w:pPr/>
      <w:r>
        <w:rPr>
          <w:rFonts w:ascii="Times New Roman" w:hAnsi="Times New Roman" w:eastAsia="Times New Roman" w:cs="Times New Roman"/>
          <w:sz w:val="24"/>
        </w:rPr>
        <w:t>“</w:t>
      </w:r>
      <w:r>
        <w:rPr>
          <w:rFonts w:ascii="Times New Roman" w:hAnsi="Times New Roman" w:eastAsia="Times New Roman" w:cs="Times New Roman"/>
          <w:b/>
          <w:sz w:val="24"/>
        </w:rPr>
        <w:t>Capital Stock</w:t>
      </w:r>
      <w:r>
        <w:rPr>
          <w:rFonts w:ascii="Times New Roman" w:hAnsi="Times New Roman" w:eastAsia="Times New Roman" w:cs="Times New Roman"/>
          <w:sz w:val="24"/>
        </w:rPr>
        <w:t>” means the capital stock of the Company, including, without limitation, the “</w:t>
      </w:r>
      <w:r>
        <w:rPr>
          <w:rFonts w:ascii="Times New Roman" w:hAnsi="Times New Roman" w:eastAsia="Times New Roman" w:cs="Times New Roman"/>
          <w:b/>
          <w:sz w:val="24"/>
        </w:rPr>
        <w:t>Common Stock</w:t>
      </w:r>
      <w:r>
        <w:rPr>
          <w:rFonts w:ascii="Times New Roman" w:hAnsi="Times New Roman" w:eastAsia="Times New Roman" w:cs="Times New Roman"/>
          <w:sz w:val="24"/>
        </w:rPr>
        <w:t>” and the “</w:t>
      </w:r>
      <w:r>
        <w:rPr>
          <w:rFonts w:ascii="Times New Roman" w:hAnsi="Times New Roman" w:eastAsia="Times New Roman" w:cs="Times New Roman"/>
          <w:b/>
          <w:sz w:val="24"/>
        </w:rPr>
        <w:t>Preferred Stock</w:t>
      </w:r>
      <w:r>
        <w:rPr>
          <w:rFonts w:ascii="Times New Roman" w:hAnsi="Times New Roman" w:eastAsia="Times New Roman" w:cs="Times New Roman"/>
          <w:sz w:val="24"/>
        </w:rPr>
        <w:t>.”</w:t>
      </w:r>
    </w:p>
    <w:p>
      <w:pPr/>
      <w:r>
        <w:rPr>
          <w:rFonts w:ascii="Times New Roman" w:hAnsi="Times New Roman" w:eastAsia="Times New Roman" w:cs="Times New Roman"/>
          <w:sz w:val="24"/>
        </w:rPr>
        <w:t>“</w:t>
      </w:r>
      <w:r>
        <w:rPr>
          <w:rFonts w:ascii="Times New Roman" w:hAnsi="Times New Roman" w:eastAsia="Times New Roman" w:cs="Times New Roman"/>
          <w:b/>
          <w:sz w:val="24"/>
        </w:rPr>
        <w:t>Change of Control</w:t>
      </w:r>
      <w:r>
        <w:rPr>
          <w:rFonts w:ascii="Times New Roman" w:hAnsi="Times New Roman" w:eastAsia="Times New Roman" w:cs="Times New Roman"/>
          <w:sz w:val="24"/>
        </w:rPr>
        <w:t xml:space="preserve">” means (i) a transaction or series of related transactions in which any “person” or “group” (within the meaning of Section 13(d) and 14(d) of the Securities Exchange Act of 1934, as amended), becomes the “beneficial owner” (as defined in Rule 13d-3 under the Securities Exchange Act of 1934, as amended), directly or indirectly, of more than 50% of the outstanding voting securities of the Company having the right to vote for the election of members of the Company’s board of directors, (ii) any reorganization, </w:t>
      </w:r>
      <w:r>
        <w:rPr>
          <w:rFonts w:ascii="Times New Roman" w:hAnsi="Times New Roman" w:eastAsia="Times New Roman" w:cs="Times New Roman"/>
          <w:sz w:val="24"/>
        </w:rPr>
        <w:t>merger or consolidation of the Company, other than a transaction or series of related transactions in which the holders of the voting securities of the Company outstanding immediately prior to such transaction or series of related transactions retain, immediately after such transaction or series of related transactions, at least a majority of the total voting power represented by the outstanding voting securities of the Company or such other surviving or resulting entity or (iii) a sale, lease or other disposition of all or substantially all of the assets of the Company.</w:t>
      </w:r>
    </w:p>
    <w:p>
      <w:pPr/>
      <w:r>
        <w:rPr>
          <w:rFonts w:ascii="Times New Roman" w:hAnsi="Times New Roman" w:eastAsia="Times New Roman" w:cs="Times New Roman"/>
          <w:sz w:val="24"/>
        </w:rPr>
        <w:t>“</w:t>
      </w:r>
      <w:r>
        <w:rPr>
          <w:rFonts w:ascii="Times New Roman" w:hAnsi="Times New Roman" w:eastAsia="Times New Roman" w:cs="Times New Roman"/>
          <w:b/>
          <w:sz w:val="24"/>
        </w:rPr>
        <w:t>Distribution</w:t>
      </w:r>
      <w:r>
        <w:rPr>
          <w:rFonts w:ascii="Times New Roman" w:hAnsi="Times New Roman" w:eastAsia="Times New Roman" w:cs="Times New Roman"/>
          <w:sz w:val="24"/>
        </w:rPr>
        <w:t>” means the transfer to holders of Capital Stock by reason of their ownership thereof of cash or other property without consideration whether by way of dividend or otherwise, other than dividends on Common Stock payable in Common Stock, or the purchase or redemption of Capital Stock by the Company or its subsidiaries for cash or property other than: (i) repurchases of Common Stock held by employees, officers, directors or consultants of the Company or its subsidiaries pursuant to an agreement providing, as applicable, a right of first refusal or a right to repurchase shares upon termination of such service provider’s employment or services; or (ii) repurchases of Capital Stock in connection with the settlement of disputes with any stockholder.</w:t>
      </w:r>
    </w:p>
    <w:p>
      <w:pPr/>
      <w:r>
        <w:rPr>
          <w:rFonts w:ascii="Times New Roman" w:hAnsi="Times New Roman" w:eastAsia="Times New Roman" w:cs="Times New Roman"/>
          <w:sz w:val="24"/>
        </w:rPr>
        <w:t>“</w:t>
      </w:r>
      <w:r>
        <w:rPr>
          <w:rFonts w:ascii="Times New Roman" w:hAnsi="Times New Roman" w:eastAsia="Times New Roman" w:cs="Times New Roman"/>
          <w:b/>
          <w:sz w:val="24"/>
        </w:rPr>
        <w:t>Dissolution Event</w:t>
      </w:r>
      <w:r>
        <w:rPr>
          <w:rFonts w:ascii="Times New Roman" w:hAnsi="Times New Roman" w:eastAsia="Times New Roman" w:cs="Times New Roman"/>
          <w:sz w:val="24"/>
        </w:rPr>
        <w:t>” means (i) a voluntary termination of operations, (ii) a general assignment for the benefit of the Company’s creditors or (iii) any other liquidation, dissolution or winding up of the Company (</w:t>
      </w:r>
      <w:r>
        <w:rPr>
          <w:rFonts w:ascii="Times New Roman" w:hAnsi="Times New Roman" w:eastAsia="Times New Roman" w:cs="Times New Roman"/>
          <w:b/>
          <w:sz w:val="24"/>
        </w:rPr>
        <w:t>excluding</w:t>
      </w:r>
      <w:r>
        <w:rPr>
          <w:rFonts w:ascii="Times New Roman" w:hAnsi="Times New Roman" w:eastAsia="Times New Roman" w:cs="Times New Roman"/>
          <w:sz w:val="24"/>
        </w:rPr>
        <w:t xml:space="preserve"> a Liquidity Event), whether voluntary or involuntary.</w:t>
      </w:r>
    </w:p>
    <w:p>
      <w:pPr/>
      <w:r>
        <w:rPr>
          <w:rFonts w:ascii="Times New Roman" w:hAnsi="Times New Roman" w:eastAsia="Times New Roman" w:cs="Times New Roman"/>
          <w:sz w:val="24"/>
        </w:rPr>
        <w:t>“</w:t>
      </w:r>
      <w:r>
        <w:rPr>
          <w:rFonts w:ascii="Times New Roman" w:hAnsi="Times New Roman" w:eastAsia="Times New Roman" w:cs="Times New Roman"/>
          <w:b/>
          <w:sz w:val="24"/>
        </w:rPr>
        <w:t>Equity Financing</w:t>
      </w:r>
      <w:r>
        <w:rPr>
          <w:rFonts w:ascii="Times New Roman" w:hAnsi="Times New Roman" w:eastAsia="Times New Roman" w:cs="Times New Roman"/>
          <w:sz w:val="24"/>
        </w:rPr>
        <w:t>” means a bona fide transaction or series of transactions with the principal purpose of raising capital, pursuant to which the Company issues and sells shares of Preferred Stock at a fixed pre-money valuation with an aggregate sales price of not less than $250,000 (excluding all Subsequent Convertible Securities).</w:t>
      </w:r>
    </w:p>
    <w:p>
      <w:pPr/>
      <w:r>
        <w:rPr>
          <w:rFonts w:ascii="Times New Roman" w:hAnsi="Times New Roman" w:eastAsia="Times New Roman" w:cs="Times New Roman"/>
          <w:sz w:val="24"/>
        </w:rPr>
        <w:t>“</w:t>
      </w:r>
      <w:r>
        <w:rPr>
          <w:rFonts w:ascii="Times New Roman" w:hAnsi="Times New Roman" w:eastAsia="Times New Roman" w:cs="Times New Roman"/>
          <w:b/>
          <w:sz w:val="24"/>
        </w:rPr>
        <w:t>Initial Public Offering</w:t>
      </w:r>
      <w:r>
        <w:rPr>
          <w:rFonts w:ascii="Times New Roman" w:hAnsi="Times New Roman" w:eastAsia="Times New Roman" w:cs="Times New Roman"/>
          <w:sz w:val="24"/>
        </w:rPr>
        <w:t>” means the closing of the Company’s first firm commitment underwritten initial public offering of Common Stock pursuant to a registration statement filed under the Securities Act.</w:t>
      </w:r>
    </w:p>
    <w:p>
      <w:pPr/>
      <w:r>
        <w:rPr>
          <w:rFonts w:ascii="Times New Roman" w:hAnsi="Times New Roman" w:eastAsia="Times New Roman" w:cs="Times New Roman"/>
          <w:sz w:val="24"/>
        </w:rPr>
        <w:t>“</w:t>
      </w:r>
      <w:r>
        <w:rPr>
          <w:rFonts w:ascii="Times New Roman" w:hAnsi="Times New Roman" w:eastAsia="Times New Roman" w:cs="Times New Roman"/>
          <w:b/>
          <w:sz w:val="24"/>
        </w:rPr>
        <w:t>Liquidity Event</w:t>
      </w:r>
      <w:r>
        <w:rPr>
          <w:rFonts w:ascii="Times New Roman" w:hAnsi="Times New Roman" w:eastAsia="Times New Roman" w:cs="Times New Roman"/>
          <w:sz w:val="24"/>
        </w:rPr>
        <w:t>” means a Change of Control or an Initial Public Offering.</w:t>
      </w:r>
    </w:p>
    <w:p>
      <w:pPr/>
      <w:r>
        <w:rPr>
          <w:rFonts w:ascii="Times New Roman" w:hAnsi="Times New Roman" w:eastAsia="Times New Roman" w:cs="Times New Roman"/>
          <w:sz w:val="24"/>
        </w:rPr>
        <w:t>“</w:t>
      </w:r>
      <w:r>
        <w:rPr>
          <w:rFonts w:ascii="Times New Roman" w:hAnsi="Times New Roman" w:eastAsia="Times New Roman" w:cs="Times New Roman"/>
          <w:b/>
          <w:sz w:val="24"/>
        </w:rPr>
        <w:t>Pro Rata Rights Agreement</w:t>
      </w:r>
      <w:r>
        <w:rPr>
          <w:rFonts w:ascii="Times New Roman" w:hAnsi="Times New Roman" w:eastAsia="Times New Roman" w:cs="Times New Roman"/>
          <w:sz w:val="24"/>
        </w:rPr>
        <w:t xml:space="preserve">” means a written agreement between the Company and the Investor (and holders of other Safes, as appropriate) giving the Investor a right to purchase its </w:t>
      </w:r>
      <w:r>
        <w:rPr>
          <w:rFonts w:ascii="Times New Roman" w:hAnsi="Times New Roman" w:eastAsia="Times New Roman" w:cs="Times New Roman"/>
          <w:sz w:val="24"/>
        </w:rPr>
        <w:t>pro rata</w:t>
      </w:r>
      <w:r>
        <w:rPr>
          <w:rFonts w:ascii="Times New Roman" w:hAnsi="Times New Roman" w:eastAsia="Times New Roman" w:cs="Times New Roman"/>
          <w:sz w:val="24"/>
        </w:rPr>
        <w:t xml:space="preserve"> share of private placements of securities by the Company </w:t>
      </w:r>
      <w:r>
        <w:rPr>
          <w:rFonts w:ascii="Times New Roman" w:hAnsi="Times New Roman" w:eastAsia="Times New Roman" w:cs="Times New Roman"/>
          <w:b/>
          <w:sz w:val="24"/>
        </w:rPr>
        <w:t>occurring after the Equity Financing</w:t>
      </w:r>
      <w:r>
        <w:rPr>
          <w:rFonts w:ascii="Times New Roman" w:hAnsi="Times New Roman" w:eastAsia="Times New Roman" w:cs="Times New Roman"/>
          <w:sz w:val="24"/>
        </w:rPr>
        <w:t>, su</w:t>
      </w:r>
      <w:r>
        <w:rPr>
          <w:rFonts w:ascii="Times New Roman" w:hAnsi="Times New Roman" w:eastAsia="Times New Roman" w:cs="Times New Roman"/>
          <w:sz w:val="24"/>
        </w:rPr>
        <w:t xml:space="preserve">bject to customary exceptions. </w:t>
      </w:r>
      <w:r>
        <w:rPr>
          <w:rFonts w:ascii="Times New Roman" w:hAnsi="Times New Roman" w:eastAsia="Times New Roman" w:cs="Times New Roman"/>
          <w:sz w:val="24"/>
        </w:rPr>
        <w:t>Pro rata</w:t>
      </w:r>
      <w:r>
        <w:rPr>
          <w:rFonts w:ascii="Times New Roman" w:hAnsi="Times New Roman" w:eastAsia="Times New Roman" w:cs="Times New Roman"/>
          <w:sz w:val="24"/>
        </w:rPr>
        <w:t xml:space="preserve"> for purposes of the Pro Rata Rights Agreement will be calculated based on the ratio of (1) the number of shares of Capital Stock owned by the Investor immediately prior to the issuance of the securities to (2) the total number of shares of outstanding Capital Stock on a fully diluted basis, calculated as of immediately prior to the issuance of the securities.</w:t>
      </w:r>
    </w:p>
    <w:p>
      <w:pPr/>
      <w:r>
        <w:rPr>
          <w:rFonts w:ascii="Times New Roman" w:hAnsi="Times New Roman" w:eastAsia="Times New Roman" w:cs="Times New Roman"/>
          <w:sz w:val="24"/>
        </w:rPr>
        <w:t>“</w:t>
      </w:r>
      <w:r>
        <w:rPr>
          <w:rFonts w:ascii="Times New Roman" w:hAnsi="Times New Roman" w:eastAsia="Times New Roman" w:cs="Times New Roman"/>
          <w:b/>
          <w:sz w:val="24"/>
        </w:rPr>
        <w:t>S</w:t>
      </w:r>
      <w:r>
        <w:rPr>
          <w:rFonts w:ascii="Times New Roman" w:hAnsi="Times New Roman" w:eastAsia="Times New Roman" w:cs="Times New Roman"/>
          <w:b/>
          <w:sz w:val="24"/>
        </w:rPr>
        <w:t>AFE</w:t>
      </w:r>
      <w:r>
        <w:rPr>
          <w:rFonts w:ascii="Times New Roman" w:hAnsi="Times New Roman" w:eastAsia="Times New Roman" w:cs="Times New Roman"/>
          <w:sz w:val="24"/>
        </w:rPr>
        <w:t>” means an instrument containing a future right to shares of Capital Stock, similar in form and content to th</w:t>
      </w:r>
      <w:r>
        <w:rPr>
          <w:rFonts w:ascii="Times New Roman" w:hAnsi="Times New Roman" w:eastAsia="Times New Roman" w:cs="Times New Roman"/>
          <w:sz w:val="24"/>
        </w:rPr>
        <w:t>is instrument, purchased by investors for the purpose of funding the Company’s business operations.</w:t>
      </w:r>
    </w:p>
    <w:p>
      <w:pPr/>
      <w:r>
        <w:rPr>
          <w:rFonts w:ascii="Times New Roman" w:hAnsi="Times New Roman" w:eastAsia="Times New Roman" w:cs="Times New Roman"/>
          <w:sz w:val="24"/>
        </w:rPr>
        <w:t>“</w:t>
      </w:r>
      <w:r>
        <w:rPr>
          <w:rFonts w:ascii="Times New Roman" w:hAnsi="Times New Roman" w:eastAsia="Times New Roman" w:cs="Times New Roman"/>
          <w:b/>
          <w:sz w:val="24"/>
        </w:rPr>
        <w:t>Subsequent Convertible Securities</w:t>
      </w:r>
      <w:r>
        <w:rPr>
          <w:rFonts w:ascii="Times New Roman" w:hAnsi="Times New Roman" w:eastAsia="Times New Roman" w:cs="Times New Roman"/>
          <w:sz w:val="24"/>
        </w:rPr>
        <w:t xml:space="preserve">” means convertible securities that the Company may issue after the issuance of this instrument with the principal purpose of raising capital, including but not limited to, other Safes, convertible debt instruments and other convertible securities. Converting Securities excludes: (i) options issued pursuant to any equity incentive </w:t>
      </w:r>
      <w:r>
        <w:rPr>
          <w:rFonts w:ascii="Times New Roman" w:hAnsi="Times New Roman" w:eastAsia="Times New Roman" w:cs="Times New Roman"/>
          <w:sz w:val="24"/>
        </w:rPr>
        <w:t>or similar plan of the Company; (ii) convertible securities issued or issuable to (A) banks, equipment lessors, financial institutions or other persons engaged in the business of making loans pursuant to a debt financing or commercial leasing or (B) suppliers or third party service providers in connection with the provision of goods or services pursuant to transactions; and (iii) convertible securities issued or issuable in connection with sponsored research, collaboration, technology license, development, OEM, marketing or other similar agreements or strategic partnerships.</w:t>
      </w:r>
    </w:p>
    <w:p>
      <w:pPr/>
      <w:r>
        <w:rPr>
          <w:rFonts w:ascii="Times New Roman" w:hAnsi="Times New Roman" w:eastAsia="Times New Roman" w:cs="Times New Roman"/>
          <w:sz w:val="24"/>
        </w:rPr>
        <w:t>“MFN” Amendment Provision.</w:t>
      </w:r>
      <w:r>
        <w:rPr>
          <w:rFonts w:ascii="Times New Roman" w:hAnsi="Times New Roman" w:eastAsia="Times New Roman" w:cs="Times New Roman"/>
          <w:sz w:val="24"/>
        </w:rPr>
        <w:t xml:space="preserve"> </w:t>
      </w:r>
      <w:r>
        <w:rPr>
          <w:rFonts w:ascii="Times New Roman" w:hAnsi="Times New Roman" w:eastAsia="Times New Roman" w:cs="Times New Roman"/>
          <w:sz w:val="24"/>
        </w:rPr>
        <w:t>If the Company issues any Subsequent Convertible Securities prior to termination of this instrument, the Company will promptly provide the Investor with written notice thereof, together with a copy of all documentation relating to such Subsequent Convertible Securities and, upon written request of the Investor, any additional information related to such Subsequent Convertible Securities as may be reasona</w:t>
      </w:r>
      <w:r>
        <w:rPr>
          <w:rFonts w:ascii="Times New Roman" w:hAnsi="Times New Roman" w:eastAsia="Times New Roman" w:cs="Times New Roman"/>
          <w:sz w:val="24"/>
        </w:rPr>
        <w:t xml:space="preserve">bly requested by the Investor. </w:t>
      </w:r>
      <w:r>
        <w:rPr>
          <w:rFonts w:ascii="Times New Roman" w:hAnsi="Times New Roman" w:eastAsia="Times New Roman" w:cs="Times New Roman"/>
          <w:sz w:val="24"/>
        </w:rPr>
        <w:t>In the event the Investor determines that the terms of the Subsequent Convertible Securities are preferable to the terms of this instrument, the Investor will notify the Company in writing. Promptly after receipt of such written notice from the Investor, the Company agrees to amend and restate this instrument to be identical to the instrument(s) evidencing the Subsequent Convertible Securities.</w:t>
      </w:r>
    </w:p>
    <w:p>
      <w:pPr/>
      <w:r>
        <w:rPr>
          <w:rFonts w:ascii="Times New Roman" w:hAnsi="Times New Roman" w:eastAsia="Times New Roman" w:cs="Times New Roman"/>
          <w:sz w:val="24"/>
        </w:rPr>
        <w:t>Company Representations</w:t>
      </w:r>
      <w:r>
        <w:rPr>
          <w:rFonts w:ascii="Times New Roman" w:hAnsi="Times New Roman" w:eastAsia="Times New Roman" w:cs="Times New Roman"/>
          <w:sz w:val="24"/>
        </w:rPr>
        <w:t>.</w:t>
      </w:r>
    </w:p>
    <w:p>
      <w:pPr/>
      <w:r>
        <w:rPr>
          <w:rFonts w:ascii="Times New Roman" w:hAnsi="Times New Roman" w:eastAsia="Times New Roman" w:cs="Times New Roman"/>
          <w:sz w:val="24"/>
        </w:rPr>
        <w:t>The Company is a corporation duly organized, validly existing and in good standing under the laws of the state of its incorporation, and has the power and authority to own, lease and operate its properties and carry on its business as now conducted.</w:t>
      </w:r>
    </w:p>
    <w:p>
      <w:pPr/>
      <w:r>
        <w:rPr>
          <w:rFonts w:ascii="Times New Roman" w:hAnsi="Times New Roman" w:eastAsia="Times New Roman" w:cs="Times New Roman"/>
          <w:sz w:val="24"/>
        </w:rPr>
        <w:t>The execution, delivery and performance by the Company of this instrument is within the power of the Company and, other than with respect to the actions to be taken when equity is to be issued to the Investor, has been duly authorized by all necessary actions on the part of the Company. This instrument constitutes a legal, valid and binding obligation of the Company, enforceable against the Company in accordance with its terms, except as limited by bankruptcy, insolvency or other laws of general application relating to or affecting the enforcement of creditors’ rights generally and</w:t>
      </w:r>
      <w:r>
        <w:rPr>
          <w:rFonts w:ascii="Times New Roman" w:hAnsi="Times New Roman" w:eastAsia="Times New Roman" w:cs="Times New Roman"/>
          <w:sz w:val="24"/>
        </w:rPr>
        <w:t xml:space="preserve"> general principles of equity. </w:t>
      </w:r>
      <w:r>
        <w:rPr>
          <w:rFonts w:ascii="Times New Roman" w:hAnsi="Times New Roman" w:eastAsia="Times New Roman" w:cs="Times New Roman"/>
          <w:sz w:val="24"/>
        </w:rPr>
        <w:t>To the knowledge of the Company, it is not in violation of (i) its current certificate of incorporation or bylaws, (ii) any material statute, rule or regulation applicable to the Company or (iii) any material indenture or contract to which the Company is a party or by which it is bound, where, in each case, such violation or default, individually, or together with all such violations or defaults, could reasonably be expected to have a material adverse effect on the Company.</w:t>
      </w:r>
    </w:p>
    <w:p>
      <w:pPr/>
      <w:r>
        <w:rPr>
          <w:rFonts w:ascii="Times New Roman" w:hAnsi="Times New Roman" w:eastAsia="Times New Roman" w:cs="Times New Roman"/>
          <w:sz w:val="24"/>
        </w:rPr>
        <w:t>The performance and consummation of the transactions contemplated by this instrument do not and will not: (i) violate any material judgment, statute, rule or regulation applicable to the Company; (ii) result in the acceleration of any material indenture or contract to which the Company is a party or by which it is bound; or (iii) result in the creation or imposition of any lien upon any property, asset or revenue of the Company or the suspension, forfeiture, or nonrenewal of any material permit, license or authorization applicable to the Company, its business or operations.</w:t>
      </w:r>
    </w:p>
    <w:p>
      <w:pPr/>
      <w:r>
        <w:rPr>
          <w:rFonts w:ascii="Times New Roman" w:hAnsi="Times New Roman" w:eastAsia="Times New Roman" w:cs="Times New Roman"/>
          <w:sz w:val="24"/>
        </w:rPr>
        <w:t xml:space="preserve">No consents or approvals are required in connection with the performance of this instrument, other than: (i) the Company’s corporate approvals; (ii) any qualifications or filings under applicable securities laws; and (iii) necessary corporate approvals for the authorization of Capital Stock </w:t>
      </w:r>
      <w:r>
        <w:rPr>
          <w:rFonts w:ascii="Times New Roman" w:hAnsi="Times New Roman" w:eastAsia="Times New Roman" w:cs="Times New Roman"/>
          <w:sz w:val="24"/>
        </w:rPr>
        <w:t xml:space="preserve">issuable pursuant to Section </w:t>
      </w:r>
      <w:r>
        <w:rPr>
          <w:rFonts w:ascii="Times New Roman" w:hAnsi="Times New Roman" w:eastAsia="Times New Roman" w:cs="Times New Roman"/>
          <w:sz w:val="24"/>
        </w:rPr>
        <w:t>1</w:t>
      </w:r>
      <w:r>
        <w:rPr>
          <w:rFonts w:ascii="Times New Roman" w:hAnsi="Times New Roman" w:eastAsia="Times New Roman" w:cs="Times New Roman"/>
          <w:sz w:val="24"/>
        </w:rPr>
        <w:t>.</w:t>
      </w:r>
    </w:p>
    <w:p>
      <w:pPr/>
      <w:r>
        <w:rPr>
          <w:rFonts w:ascii="Times New Roman" w:hAnsi="Times New Roman" w:eastAsia="Times New Roman" w:cs="Times New Roman"/>
          <w:sz w:val="24"/>
        </w:rPr>
        <w:t>To its knowledge, the Company owns or possesses (or can obtain on commercially reasonable terms) sufficient legal rights to all patents, trademarks, service marks, trade names, copyrights, trade secrets, licenses, information, processes and other intellectual property rights necessary for its business as now conducted and as currently proposed to be conducted, without any conflict with, or infringement of the rights of, others.</w:t>
      </w:r>
    </w:p>
    <w:p>
      <w:pPr/>
      <w:r>
        <w:rPr>
          <w:rFonts w:ascii="Times New Roman" w:hAnsi="Times New Roman" w:eastAsia="Times New Roman" w:cs="Times New Roman"/>
          <w:sz w:val="24"/>
        </w:rPr>
        <w:t>Investor Representations</w:t>
      </w:r>
      <w:r>
        <w:rPr>
          <w:rFonts w:ascii="Times New Roman" w:hAnsi="Times New Roman" w:eastAsia="Times New Roman" w:cs="Times New Roman"/>
          <w:sz w:val="24"/>
        </w:rPr>
        <w:t>.</w:t>
      </w:r>
    </w:p>
    <w:p>
      <w:pPr/>
      <w:r>
        <w:rPr>
          <w:rFonts w:ascii="Times New Roman" w:hAnsi="Times New Roman" w:eastAsia="Times New Roman" w:cs="Times New Roman"/>
          <w:sz w:val="24"/>
        </w:rPr>
        <w:t>The Investor has full legal capacity, power and authority to execute and deliver this instrument and to perform its obligations hereunder. This instrument constitutes valid and binding obligation of the Investor, enforceable in accordance with its terms, except as limited by bankruptcy, insolvency or other laws of general application relating to or affecting the enforcement of creditors’ rights generally and general principles of equity.</w:t>
      </w:r>
    </w:p>
    <w:p>
      <w:pPr/>
      <w:r>
        <w:rPr>
          <w:rFonts w:ascii="Times New Roman" w:hAnsi="Times New Roman" w:eastAsia="Times New Roman" w:cs="Times New Roman"/>
          <w:sz w:val="24"/>
        </w:rPr>
        <w:t>The Investor is an accredited investor as such term is defined in Rule 501 of Regulation D under the Securities Act. The Investor has been advised that this instrument and the underlying securities have not been registered under the Securities Act, or any state securities laws and, therefore, cannot be resold unless they are registered under the Securities Act and applicable state securities laws or unless an exemption from such registration requirements is available. The Investor is purchasing this instrument and the securities to be acquired by the Investor hereunder for its own account for investment, not as a nominee or agent, and not with a view to, or for resale in connection with, the distribution thereof, and the Investor has no present intention of selling, granting any participation in, or otherwise distributing the same. The Investor has such knowledge and experience in financial and business matters that the Investor is capable of evaluating the merits and risks of such investment, is able to incur a complete loss of such investment without impairing the Investor’s financial condition and is able to bear the economic risk of such investment for an indefinite period of time.</w:t>
      </w:r>
    </w:p>
    <w:p>
      <w:pPr/>
      <w:r>
        <w:rPr>
          <w:rFonts w:ascii="Times New Roman" w:hAnsi="Times New Roman" w:eastAsia="Times New Roman" w:cs="Times New Roman"/>
          <w:sz w:val="24"/>
        </w:rPr>
        <w:t>Miscellaneous</w:t>
      </w:r>
      <w:r>
        <w:rPr>
          <w:rFonts w:ascii="Times New Roman" w:hAnsi="Times New Roman" w:eastAsia="Times New Roman" w:cs="Times New Roman"/>
          <w:sz w:val="24"/>
        </w:rPr>
        <w:t>.</w:t>
      </w:r>
    </w:p>
    <w:p>
      <w:pPr/>
      <w:r>
        <w:rPr>
          <w:rFonts w:ascii="Times New Roman" w:hAnsi="Times New Roman" w:eastAsia="Times New Roman" w:cs="Times New Roman"/>
          <w:sz w:val="24"/>
        </w:rPr>
        <w:t>Any provision of this instrument may be amended, waived or modified only upon the written consent of the Company and the Investor.</w:t>
      </w:r>
    </w:p>
    <w:p>
      <w:pPr/>
      <w:r>
        <w:rPr>
          <w:rFonts w:ascii="Times New Roman" w:hAnsi="Times New Roman" w:eastAsia="Times New Roman" w:cs="Times New Roman"/>
          <w:sz w:val="24"/>
        </w:rPr>
        <w:t xml:space="preserve">Any notice required or permitted by this instrument will be deemed sufficient when delivered personally or by overnight courier or sent by email to the relevant address listed on the signature page, or 48 hours after being deposited in the </w:t>
      </w:r>
      <w:r>
        <w:rPr>
          <w:rFonts w:ascii="Times New Roman" w:hAnsi="Times New Roman" w:eastAsia="Times New Roman" w:cs="Times New Roman"/>
          <w:sz w:val="24"/>
        </w:rPr>
        <w:t>U. S</w:t>
      </w:r>
      <w:r>
        <w:rPr>
          <w:rFonts w:ascii="Times New Roman" w:hAnsi="Times New Roman" w:eastAsia="Times New Roman" w:cs="Times New Roman"/>
          <w:sz w:val="24"/>
        </w:rPr>
        <w:t>. mail as certified or registered mail with postage prepaid, addressed to the party to be notified at such party’s address listed on the signature page, as subsequently modified by written notice.</w:t>
      </w:r>
    </w:p>
    <w:p>
      <w:pPr/>
      <w:r>
        <w:rPr>
          <w:rFonts w:ascii="Times New Roman" w:hAnsi="Times New Roman" w:eastAsia="Times New Roman" w:cs="Times New Roman"/>
          <w:sz w:val="24"/>
        </w:rPr>
        <w:t xml:space="preserve">The Investor is not entitled, as a holder of this instrument, to vote or receive dividends or be deemed the holder of Capital Stock for any purpose, nor will anything contained </w:t>
      </w:r>
      <w:r>
        <w:rPr>
          <w:rFonts w:ascii="Times New Roman" w:hAnsi="Times New Roman" w:eastAsia="Times New Roman" w:cs="Times New Roman"/>
          <w:sz w:val="24"/>
        </w:rPr>
        <w:t>herein be construed to confer on the Investor, as such, any of the rights of a stockholder of the Company or any right to vote for the election of directors or upon any matter submitted to stockholders at any meeting thereof, or to give or withhold consent to any corporate action or to receive notice of meetings, or to receive subscription rights or otherwise until shares have been issued upon the terms described herein.</w:t>
      </w:r>
    </w:p>
    <w:p>
      <w:pPr/>
      <w:r>
        <w:rPr>
          <w:rFonts w:ascii="Times New Roman" w:hAnsi="Times New Roman" w:eastAsia="Times New Roman" w:cs="Times New Roman"/>
          <w:sz w:val="24"/>
        </w:rPr>
        <w:t xml:space="preserve">Neither this instrument nor the rights contained herein may be assigned, by operation of law or otherwise, by either party without the prior written consent of the other; </w:t>
      </w:r>
      <w:r>
        <w:rPr>
          <w:rFonts w:ascii="Times New Roman" w:hAnsi="Times New Roman" w:eastAsia="Times New Roman" w:cs="Times New Roman"/>
          <w:sz w:val="24"/>
        </w:rPr>
        <w:t>provided, however</w:t>
      </w:r>
      <w:r>
        <w:rPr>
          <w:rFonts w:ascii="Times New Roman" w:hAnsi="Times New Roman" w:eastAsia="Times New Roman" w:cs="Times New Roman"/>
          <w:sz w:val="24"/>
        </w:rPr>
        <w:t xml:space="preserve">, that this instrument and/or the rights contained herein may be assigned without the Company’s consent by the Investor to any other entity who directly or indirectly, controls, is controlled by or is under common control with the Investor, including, without limitation, any general partner, managing member, officer or director of the Investor, or any venture capital fund now or hereafter existing which is controlled by one or more general partners or managing members of, or shares the same management company with, the Investor; and </w:t>
      </w:r>
      <w:r>
        <w:rPr>
          <w:rFonts w:ascii="Times New Roman" w:hAnsi="Times New Roman" w:eastAsia="Times New Roman" w:cs="Times New Roman"/>
          <w:sz w:val="24"/>
        </w:rPr>
        <w:t>provided, further</w:t>
      </w:r>
      <w:r>
        <w:rPr>
          <w:rFonts w:ascii="Times New Roman" w:hAnsi="Times New Roman" w:eastAsia="Times New Roman" w:cs="Times New Roman"/>
          <w:sz w:val="24"/>
        </w:rPr>
        <w:t>, that the Company may assign this instrument in whole, without the consent of the Investor, in connection with a reincorporation to change the Company’s domicile.</w:t>
      </w:r>
    </w:p>
    <w:p>
      <w:pPr/>
      <w:r>
        <w:rPr>
          <w:rFonts w:ascii="Times New Roman" w:hAnsi="Times New Roman" w:eastAsia="Times New Roman" w:cs="Times New Roman"/>
          <w:sz w:val="24"/>
        </w:rPr>
        <w:t>In the event any one or more of the provisions of this instrument is for any reason held to be invalid, illegal or unenforceable, in whole or in part or in any respect, or in the event that any one or more of the provisions of this instrument operate or would prospectively operate to invalidate this instrument, then and in any such event, such provision(s) only will be deemed null and void and will not affect any other provision of this instrument and the remaining provisions of this instrument will remain operative and in full force and effect and will not be affected, prejudiced, or disturbed thereby.</w:t>
      </w:r>
    </w:p>
    <w:p>
      <w:pPr/>
      <w:r>
        <w:rPr>
          <w:rFonts w:ascii="Times New Roman" w:hAnsi="Times New Roman" w:eastAsia="Times New Roman" w:cs="Times New Roman"/>
          <w:sz w:val="24"/>
        </w:rPr>
        <w:t>All rights and obligations hereunder will be governed by the laws of the State of [Governing Law Jurisdiction], without regard to the conflicts of law provisions of such jurisdiction.</w:t>
      </w:r>
    </w:p>
    <w:p>
      <w:pPr/>
      <w:r>
        <w:rPr>
          <w:rFonts w:ascii="Times New Roman" w:hAnsi="Times New Roman" w:eastAsia="Times New Roman" w:cs="Times New Roman"/>
          <w:sz w:val="24"/>
        </w:rPr>
        <w:t>(Signature page follows)</w:t>
      </w:r>
    </w:p>
    <w:p>
      <w:pPr/>
    </w:p>
    <w:p>
      <w:pPr/>
      <w:r>
        <w:rPr>
          <w:rFonts w:ascii="Times New Roman" w:hAnsi="Times New Roman" w:eastAsia="Times New Roman" w:cs="Times New Roman"/>
          <w:sz w:val="24"/>
        </w:rPr>
        <w:t>IN WITNESS WHEREOF, the undersigned have caused this instrument to be duly executed and delivered.</w:t>
      </w:r>
    </w:p>
    <w:p>
      <w:pPr/>
    </w:p>
    <w:p>
      <w:pPr/>
      <w:r>
        <w:rPr>
          <w:rFonts w:ascii="Times New Roman" w:hAnsi="Times New Roman" w:eastAsia="Times New Roman" w:cs="Times New Roman"/>
          <w:b/>
          <w:sz w:val="24"/>
        </w:rPr>
        <w:t>[COMPANY]</w:t>
      </w:r>
    </w:p>
    <w:p>
      <w:pPr/>
    </w:p>
    <w:p>
      <w:pPr/>
    </w:p>
    <w:p>
      <w:pPr/>
      <w:r>
        <w:rPr>
          <w:rFonts w:ascii="Times New Roman" w:hAnsi="Times New Roman" w:eastAsia="Times New Roman" w:cs="Times New Roman"/>
          <w:b/>
          <w:sz w:val="24"/>
        </w:rPr>
        <w:t>INVESTOR:</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