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Board Consent: Simple Agreement for Future Equity (SAFE) with Most Favored Nation (MFN) Provision, No Cap or Discount</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[COMPANY NAME]</w:t>
      </w:r>
      <w:r>
        <w:rPr>
          <w:rFonts w:ascii="Times New Roman" w:hAnsi="Times New Roman" w:eastAsia="Times New Roman" w:cs="Times New Roman"/>
          <w:sz w:val="24"/>
        </w:rPr>
        <w:br/>
      </w:r>
      <w:r>
        <w:rPr>
          <w:rFonts w:ascii="Times New Roman" w:hAnsi="Times New Roman" w:eastAsia="Times New Roman" w:cs="Times New Roman"/>
          <w:b/>
          <w:sz w:val="24"/>
        </w:rPr>
        <w:t>ACTION BY UNANIMOUS WRITTEN CONSENT</w:t>
      </w:r>
      <w:r>
        <w:rPr>
          <w:rFonts w:ascii="Times New Roman" w:hAnsi="Times New Roman" w:eastAsia="Times New Roman" w:cs="Times New Roman"/>
          <w:sz w:val="24"/>
        </w:rPr>
        <w:br/>
      </w:r>
      <w:r>
        <w:rPr>
          <w:rFonts w:ascii="Times New Roman" w:hAnsi="Times New Roman" w:eastAsia="Times New Roman" w:cs="Times New Roman"/>
          <w:b/>
          <w:sz w:val="24"/>
        </w:rPr>
        <w:t>OF THE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accordance with the Bylaws of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where Company is incorporated] corporation (the "Company"), the undersigned, constituting all of the members of the Company's Board of Directors (the "Board"), hereby unanimously adopt the following resolutions, and do hereby consent to the taking of the actions set forth herein effective as of the date of execution set forth below:</w:t>
      </w:r>
    </w:p>
    <w:p>
      <w:pPr>
        <w:keepNext w:val="0"/>
        <w:spacing w:before="120" w:after="0" w:line="260" w:lineRule="exact"/>
        <w:ind w:left="1080" w:right="0" w:firstLine="0"/>
        <w:jc w:val="left"/>
      </w:pPr>
      <w:r>
        <w:rPr>
          <w:rFonts w:ascii="Times New Roman" w:hAnsi="Times New Roman" w:eastAsia="Times New Roman" w:cs="Times New Roman"/>
          <w:b/>
          <w:sz w:val="24"/>
        </w:rPr>
        <w:t>Approval of the Simple Agreement for Future Equity (SAFE)</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Authorized Officers set forth on EXHIBIT ONE be, and each of them acting singly hereby is, authorized, directed and empowered, in the name and on behalf of the Company to negotiate, execute and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in substantially the form as set forth in APPENDIX ONE and on such terms and conditions as the Authorized Officers determine is in the best interests of the Company;</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form, terms and provisions of the SAFE be, and the same hereby are, authorized, adopted and approved;</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Authorized Officers be, and each of them acting singly hereby is, authorized, directed and empowered, in the name and on behalf of the Company, to finalize and deliver the SAFE, with such changes thereto as any of the Authorized Officers may in his or her sole discretion determine to be necessary or appropriate, such determination to be conclusively evidenced by his or her execution and delivery thereof;</w:t>
      </w:r>
    </w:p>
    <w:p>
      <w:pPr>
        <w:keepNext w:val="0"/>
        <w:spacing w:before="120" w:after="0" w:line="260" w:lineRule="exact"/>
        <w:ind w:left="1080" w:right="0" w:firstLine="0"/>
        <w:jc w:val="left"/>
      </w:pPr>
      <w:r>
        <w:rPr>
          <w:rFonts w:ascii="Times New Roman" w:hAnsi="Times New Roman" w:eastAsia="Times New Roman" w:cs="Times New Roman"/>
          <w:b/>
          <w:sz w:val="24"/>
        </w:rPr>
        <w:t>General Authorization</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Authorized Officers be, and each of them acting singly hereby is, authorized and directed to take all such further actions, to execute, deliver and file all such further instruments and documents, and to do all such further things, in the name and on behalf of the Company and under its corporate seal or otherwise, and to pay all such fees, expenses and taxes, as in any Authorized Officer's judgment may be necessary or advisable in order to carry out fully the intent and accomplish the purposes of the foregoing resolutions;</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each act, action, agreement, document or instrument done, performed, made, executed or delivered by, in the name or on behalf of the Company prior to the date hereof in connection with the matters contemplated by the foregoing resolutions be, and each of the same hereby is, ratified, confirmed, authorized and approved; and</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this consent may be executed in multiple counterparts, which taken together shall constitute one instrument.</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have executed this Action by Unanimous Written Consent of the Board of Directors as of the date set forth below opposite his name, which may be executed in one or more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shall constitute one and the same instrument.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action shall be filed with the minutes of the proceedings of this Board of Directors and shall be effective as of the last date of execution below. Any copy, facsimile or other reliable reproduction of this action may be substituted or used in lieu of the original writing for any and all purposes for which the original writing could be used, provided that such copy, facsimile or other reproduction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reproduction of the entire original writing.</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[______]</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One</w:t>
      </w:r>
    </w:p>
    <w:p>
      <w:pPr>
        <w:keepNext w:val="0"/>
        <w:spacing w:before="200" w:after="0" w:line="260" w:lineRule="exact"/>
        <w:ind w:left="720" w:right="0" w:firstLine="0"/>
        <w:jc w:val="both"/>
      </w:pPr>
      <w:r>
        <w:rPr>
          <w:rFonts w:ascii="Times New Roman" w:hAnsi="Times New Roman" w:eastAsia="Times New Roman" w:cs="Times New Roman"/>
          <w:b/>
          <w:sz w:val="24"/>
        </w:rPr>
        <w:t>[Schedule of Authorized Officers]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Appendix One</w:t>
      </w:r>
    </w:p>
    <w:p>
      <w:pPr>
        <w:keepNext w:val="0"/>
        <w:spacing w:before="200" w:after="0" w:line="260" w:lineRule="exact"/>
        <w:ind w:left="720" w:right="0" w:firstLine="0"/>
        <w:jc w:val="both"/>
      </w:pPr>
      <w:r>
        <w:rPr>
          <w:rFonts w:ascii="Times New Roman" w:hAnsi="Times New Roman" w:eastAsia="Times New Roman" w:cs="Times New Roman"/>
          <w:b w:val="0"/>
          <w:sz w:val="24"/>
        </w:rPr>
        <w:t>THIS INSTRUMENT AND ANY SECURITIES ISSUABLE PURSUANT HERETO HAVE NOT BEEN REGISTERED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OR UNDER THE SECURITIES LAWS OF CERTAIN STATES. THESE SECURITIES MAY NOT BE OFFERED, SOLD OR OTHERWISE TRANSFERRED, PLEDGED OR HYPOTHECATED EXCEPT AS PERMITTED UNDER THE ACT AND APPLICABLE STATE SECURITIES LAWS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REGISTRATION STATEMENT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w:t>
      </w:r>
    </w:p>
    <w:p>
      <w:pPr>
        <w:keepNext w:val="0"/>
        <w:spacing w:before="200" w:after="0" w:line="260" w:lineRule="exact"/>
        <w:ind w:left="720" w:right="0" w:firstLine="0"/>
        <w:jc w:val="center"/>
      </w:pPr>
      <w:r>
        <w:rPr>
          <w:rFonts w:ascii="Times New Roman" w:hAnsi="Times New Roman" w:eastAsia="Times New Roman" w:cs="Times New Roman"/>
          <w:b/>
          <w:sz w:val="24"/>
        </w:rPr>
        <w:t>[COMPANY NAME]</w:t>
      </w:r>
    </w:p>
    <w:p>
      <w:pPr>
        <w:keepNext w:val="0"/>
        <w:spacing w:before="120" w:after="0" w:line="260" w:lineRule="exact"/>
        <w:ind w:left="720" w:right="0" w:firstLine="0"/>
        <w:jc w:val="left"/>
      </w:pPr>
      <w:r>
        <w:rPr>
          <w:rFonts w:ascii="Times New Roman" w:hAnsi="Times New Roman" w:eastAsia="Times New Roman" w:cs="Times New Roman"/>
          <w:b/>
          <w:sz w:val="24"/>
        </w:rPr>
        <w:t>Simple Agreement for Future Equity (SAFE)</w:t>
      </w:r>
    </w:p>
    <w:p>
      <w:pPr>
        <w:keepNext w:val="0"/>
        <w:spacing w:before="200" w:after="0" w:line="260" w:lineRule="exact"/>
        <w:ind w:left="1080" w:right="0" w:firstLine="0"/>
        <w:jc w:val="both"/>
      </w:pPr>
      <w:r>
        <w:rPr>
          <w:rFonts w:ascii="Times New Roman" w:hAnsi="Times New Roman" w:eastAsia="Times New Roman" w:cs="Times New Roman"/>
          <w:b w:val="0"/>
          <w:sz w:val="24"/>
        </w:rPr>
        <w:t>THIS CERTIFIES THAT in exchange for the payment by [Investor Name] (the "</w:t>
      </w:r>
      <w:r>
        <w:rPr>
          <w:rFonts w:ascii="Times New Roman" w:hAnsi="Times New Roman" w:eastAsia="Times New Roman" w:cs="Times New Roman"/>
          <w:b/>
          <w:sz w:val="24"/>
        </w:rPr>
        <w:t>Investor</w:t>
      </w:r>
      <w:r>
        <w:rPr>
          <w:rFonts w:ascii="Times New Roman" w:hAnsi="Times New Roman" w:eastAsia="Times New Roman" w:cs="Times New Roman"/>
          <w:b w:val="0"/>
          <w:sz w:val="24"/>
        </w:rPr>
        <w:t>") of $[________] (the "</w:t>
      </w:r>
      <w:r>
        <w:rPr>
          <w:rFonts w:ascii="Times New Roman" w:hAnsi="Times New Roman" w:eastAsia="Times New Roman" w:cs="Times New Roman"/>
          <w:b/>
          <w:sz w:val="24"/>
        </w:rPr>
        <w:t>Purchase Amount</w:t>
      </w:r>
      <w:r>
        <w:rPr>
          <w:rFonts w:ascii="Times New Roman" w:hAnsi="Times New Roman" w:eastAsia="Times New Roman" w:cs="Times New Roman"/>
          <w:b w:val="0"/>
          <w:sz w:val="24"/>
        </w:rPr>
        <w:t xml:space="preserve">") on or about [Date of SAFE],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Incorporation] corporation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hereby issues to the Investor the right to certain shares of the Company's capital stock, subject to the terms set forth below.</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Events.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Equity Financing.</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If there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Equity Financing before the expiration or termination of this instrument, the Company will automatically issue to the Investor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shares of Preferred Stock sold in the Equity Financing equal to the Purchase Amount divided by the price per share of the Preferred Stock.</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In connection with the issuance of such shares of Preferred Stock to the Investor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Investor will execute and deliver to the Company all transaction documents related to the Equity Financing;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such documents are the same documents to be entered into with the purchasers of Preferred Stock,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that such documents have customary exceptions to any drag-along applicable to the Investor, including, without limitation, limited representations and warranties and limited liability and indemnification obligations on the part of the Investor; and</w:t>
      </w:r>
    </w:p>
    <w:p>
      <w:pPr>
        <w:keepNext w:val="0"/>
        <w:spacing w:before="120" w:after="0" w:line="260" w:lineRule="exact"/>
        <w:ind w:left="1800" w:right="0" w:firstLine="0"/>
        <w:jc w:val="left"/>
      </w:pPr>
      <w:r>
        <w:rPr>
          <w:rFonts w:ascii="Times New Roman" w:hAnsi="Times New Roman" w:eastAsia="Times New Roman" w:cs="Times New Roman"/>
          <w:b w:val="0"/>
          <w:sz w:val="24"/>
        </w:rPr>
        <w:t>(ii)</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Investor and the Company will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Rights Agreement, unless the Investor is already included in such rights in the transaction documents related to the Equity Financing.</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Liquidity Event.</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If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Liquidity Event before the expiration or termination of this instrument, the Investor will, at its option, either (i)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payment equal to the Purchase Amount (subject to the following paragraph) or (ii) automatically receive from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shares of Common Stock equal to the Purchase Amount divided by the fair market value of the Common Stock at the time of the Liquidity Event (determined by reference to the purchase price payable in connection with such Liquidity Event) (the "</w:t>
      </w:r>
      <w:r>
        <w:rPr>
          <w:rFonts w:ascii="Times New Roman" w:hAnsi="Times New Roman" w:eastAsia="Times New Roman" w:cs="Times New Roman"/>
          <w:b/>
          <w:sz w:val="24"/>
        </w:rPr>
        <w:t>Liquidity Price</w:t>
      </w:r>
      <w:r>
        <w:rPr>
          <w:rFonts w:ascii="Times New Roman" w:hAnsi="Times New Roman" w:eastAsia="Times New Roman" w:cs="Times New Roman"/>
          <w:b w:val="0"/>
          <w:sz w:val="24"/>
        </w:rPr>
        <w:t>"), if the Investor fails to select the cash option.</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In connection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(b)</w:t>
      </w:r>
      <w:r>
        <w:rPr>
          <w:rFonts w:ascii="Times New Roman" w:hAnsi="Times New Roman" w:eastAsia="Times New Roman" w:cs="Times New Roman"/>
          <w:b w:val="0"/>
          <w:sz w:val="24"/>
        </w:rPr>
        <w:t>(i), the Purchase Amount will be due and payable by the Company to the Investor immediately prior to, or concurrent with, the consummation of the Liquidity Event. If there are not enough funds to pay the Investor and holders of other Safes (collectively, the "</w:t>
      </w:r>
      <w:r>
        <w:rPr>
          <w:rFonts w:ascii="Times New Roman" w:hAnsi="Times New Roman" w:eastAsia="Times New Roman" w:cs="Times New Roman"/>
          <w:b/>
          <w:sz w:val="24"/>
        </w:rPr>
        <w:t>Cash-Out Investors</w:t>
      </w:r>
      <w:r>
        <w:rPr>
          <w:rFonts w:ascii="Times New Roman" w:hAnsi="Times New Roman" w:eastAsia="Times New Roman" w:cs="Times New Roman"/>
          <w:b w:val="0"/>
          <w:sz w:val="24"/>
        </w:rPr>
        <w:t xml:space="preserve">") in full, then all of the Company's available funds will be distributed with equal priority and </w:t>
      </w:r>
      <w:r>
        <w:rPr>
          <w:rFonts w:ascii="Times New Roman" w:hAnsi="Times New Roman" w:eastAsia="Times New Roman" w:cs="Times New Roman"/>
          <w:b w:val="0"/>
          <w:sz w:val="24"/>
        </w:rPr>
        <w:t>pro rata</w:t>
      </w:r>
      <w:r>
        <w:rPr>
          <w:rFonts w:ascii="Times New Roman" w:hAnsi="Times New Roman" w:eastAsia="Times New Roman" w:cs="Times New Roman"/>
          <w:b w:val="0"/>
          <w:sz w:val="24"/>
        </w:rPr>
        <w:t xml:space="preserve"> among the Cash-Out Investors in proportion to their Purchase Amounts, and the Cash-Out Investors will automatically receive the number of shares of Common Stock equal to the remaining unpaid Purchase Amount divided by the Liquidity Price.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intended to qualify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tax-free reorganization, the Company may reduce, </w:t>
      </w:r>
      <w:r>
        <w:rPr>
          <w:rFonts w:ascii="Times New Roman" w:hAnsi="Times New Roman" w:eastAsia="Times New Roman" w:cs="Times New Roman"/>
          <w:b w:val="0"/>
          <w:sz w:val="24"/>
        </w:rPr>
        <w:t>pro rata</w:t>
      </w:r>
      <w:r>
        <w:rPr>
          <w:rFonts w:ascii="Times New Roman" w:hAnsi="Times New Roman" w:eastAsia="Times New Roman" w:cs="Times New Roman"/>
          <w:b w:val="0"/>
          <w:sz w:val="24"/>
        </w:rPr>
        <w:t xml:space="preserve">, the Purchase Amounts payable to the Cash-Out Investors by the amount determined by its board of directors in good faith to be advisable for such Change of Control to qualify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tax-free reorganization for U.S. federal income tax purposes, and in such case, the Cash-Out Investors will automatically receive the number of shares of Common Stock equal to the remaining unpaid Purchase Amount divided by the Liquidity Price.</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Dissolution Event.</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If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Dissolution Event before this instrument expires or terminates, the Company will pay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Purchase Amount, due and payable to the Investor immediately prior to, or concurrent with, the consummation of the Dissolution Event. The Purchase Amount will be paid prior and in preference to any Distribution of any of the assets of the Company to holders of outstanding Capital Stock by reason of their ownership thereof. If immediately prior to the consummation of the Dissolution Event, the assets of the Company legally available for distribution to the Investor and all holders of all other Safes (the "</w:t>
      </w:r>
      <w:r>
        <w:rPr>
          <w:rFonts w:ascii="Times New Roman" w:hAnsi="Times New Roman" w:eastAsia="Times New Roman" w:cs="Times New Roman"/>
          <w:b/>
          <w:sz w:val="24"/>
        </w:rPr>
        <w:t>Dissolving Investors</w:t>
      </w:r>
      <w:r>
        <w:rPr>
          <w:rFonts w:ascii="Times New Roman" w:hAnsi="Times New Roman" w:eastAsia="Times New Roman" w:cs="Times New Roman"/>
          <w:b w:val="0"/>
          <w:sz w:val="24"/>
        </w:rPr>
        <w:t xml:space="preserve">"), as determined in good faith by the Company's board of directors, are insufficient to permit the payment to the Dissolving Investors of their respective Purchase Amounts, then the entire assets of the Company legally available for distribution will be distributed with equal priority and </w:t>
      </w:r>
      <w:r>
        <w:rPr>
          <w:rFonts w:ascii="Times New Roman" w:hAnsi="Times New Roman" w:eastAsia="Times New Roman" w:cs="Times New Roman"/>
          <w:b w:val="0"/>
          <w:sz w:val="24"/>
        </w:rPr>
        <w:t>pro rata</w:t>
      </w:r>
      <w:r>
        <w:rPr>
          <w:rFonts w:ascii="Times New Roman" w:hAnsi="Times New Roman" w:eastAsia="Times New Roman" w:cs="Times New Roman"/>
          <w:b w:val="0"/>
          <w:sz w:val="24"/>
        </w:rPr>
        <w:t xml:space="preserve"> among the Dissolving Investors in proportion to the Purchase Amounts they would otherwise be entitled to receive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This instrument will expire and terminate (without relieving the Company of any obligations arising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prior breach of or non-compliance with this instrument) upon either (i) the issuance of stock to the Investor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(ii); or (ii) the payment, or setting aside for payment, of amounts due the Investor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(i)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120" w:after="0" w:line="260" w:lineRule="exact"/>
        <w:ind w:left="1440" w:right="0" w:firstLine="24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Capital Stock</w:t>
      </w:r>
      <w:r>
        <w:rPr>
          <w:rFonts w:ascii="Times New Roman" w:hAnsi="Times New Roman" w:eastAsia="Times New Roman" w:cs="Times New Roman"/>
          <w:b w:val="0"/>
          <w:sz w:val="24"/>
        </w:rPr>
        <w:t>" means the capital stock of the Company, including, without limitation, the "</w:t>
      </w:r>
      <w:r>
        <w:rPr>
          <w:rFonts w:ascii="Times New Roman" w:hAnsi="Times New Roman" w:eastAsia="Times New Roman" w:cs="Times New Roman"/>
          <w:b/>
          <w:sz w:val="24"/>
        </w:rPr>
        <w:t>Common Stock</w:t>
      </w:r>
      <w:r>
        <w:rPr>
          <w:rFonts w:ascii="Times New Roman" w:hAnsi="Times New Roman" w:eastAsia="Times New Roman" w:cs="Times New Roman"/>
          <w:b w:val="0"/>
          <w:sz w:val="24"/>
        </w:rPr>
        <w:t>" and the "</w:t>
      </w:r>
      <w:r>
        <w:rPr>
          <w:rFonts w:ascii="Times New Roman" w:hAnsi="Times New Roman" w:eastAsia="Times New Roman" w:cs="Times New Roman"/>
          <w:b/>
          <w:sz w:val="24"/>
        </w:rPr>
        <w:t>Preferred Stock</w:t>
      </w:r>
      <w:r>
        <w:rPr>
          <w:rFonts w:ascii="Times New Roman" w:hAnsi="Times New Roman" w:eastAsia="Times New Roman" w:cs="Times New Roman"/>
          <w:b w:val="0"/>
          <w:sz w:val="24"/>
        </w:rPr>
        <w:t>."</w:t>
      </w:r>
    </w:p>
    <w:p>
      <w:pPr>
        <w:keepNext w:val="0"/>
        <w:spacing w:before="120" w:after="0" w:line="260" w:lineRule="exact"/>
        <w:ind w:left="1440" w:right="0" w:firstLine="24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Change of Control</w:t>
      </w:r>
      <w:r>
        <w:rPr>
          <w:rFonts w:ascii="Times New Roman" w:hAnsi="Times New Roman" w:eastAsia="Times New Roman" w:cs="Times New Roman"/>
          <w:b w:val="0"/>
          <w:sz w:val="24"/>
        </w:rPr>
        <w:t xml:space="preserve">" means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series of related transactions in which any "person" or "group" (within the meaning of Section 13(d) and 14(d) of the Securities Exchange Act of 1934, as amended), becomes the "beneficial owner" (as defined in Rule 13d-3 under the Securities Exchange Act of 1934, as amended), directly or indirectly, of more than 50% of the outstanding voting securities of the Company having the right to vote for the election of members of the Company's board of directors, (ii) any reorganization, merger or consolidation of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series of related transactions in which the holders of the voting securities of the Company outstanding immediately prior to such transaction or series of related transactions retain, immediately after such transaction or series of related transactions, at least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total voting power represented by the outstanding voting securities of the Company or such other surviving or resulting entity or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sale, lease or other disposition of all or substantially all of the assets of the Company.</w:t>
      </w:r>
    </w:p>
    <w:p>
      <w:pPr>
        <w:keepNext w:val="0"/>
        <w:spacing w:before="120" w:after="0" w:line="260" w:lineRule="exact"/>
        <w:ind w:left="1440" w:right="0" w:firstLine="24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Distribution</w:t>
      </w:r>
      <w:r>
        <w:rPr>
          <w:rFonts w:ascii="Times New Roman" w:hAnsi="Times New Roman" w:eastAsia="Times New Roman" w:cs="Times New Roman"/>
          <w:b w:val="0"/>
          <w:sz w:val="24"/>
        </w:rPr>
        <w:t xml:space="preserve">" means the transfer to holders of Capital Stock by reason of their ownership thereof of cash or other property without consideration whether by way of dividend or otherwise, other than dividends on Common Stock payable in Common Stock, or the purchase or redemption of Capital Stock by the Company or its subsidiaries for cash or property other than: (i) repurchases of Common Stock held by employees, officers, directors or consultants of the Company or its subsidiaries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providing, as applicable,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repurchase shares upon termination of such service provider's employment or services; or (ii) repurchases of Capital Stock in connection with the settlement of disputes with any stockholder.</w:t>
      </w:r>
    </w:p>
    <w:p>
      <w:pPr>
        <w:keepNext w:val="0"/>
        <w:spacing w:before="120" w:after="0" w:line="260" w:lineRule="exact"/>
        <w:ind w:left="1440" w:right="0" w:firstLine="24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Dissolution Event</w:t>
      </w:r>
      <w:r>
        <w:rPr>
          <w:rFonts w:ascii="Times New Roman" w:hAnsi="Times New Roman" w:eastAsia="Times New Roman" w:cs="Times New Roman"/>
          <w:b w:val="0"/>
          <w:sz w:val="24"/>
        </w:rPr>
        <w:t xml:space="preserve">" means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termination of operations,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assignment for the benefit of the Company's creditors or (iii) any other liquidation, dissolution or winding up of the Company (</w:t>
      </w:r>
      <w:r>
        <w:rPr>
          <w:rFonts w:ascii="Times New Roman" w:hAnsi="Times New Roman" w:eastAsia="Times New Roman" w:cs="Times New Roman"/>
          <w:b/>
          <w:sz w:val="24"/>
        </w:rPr>
        <w:t>excluding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Liquidity Event), whether voluntary or involuntary.</w:t>
      </w:r>
    </w:p>
    <w:p>
      <w:pPr>
        <w:keepNext w:val="0"/>
        <w:spacing w:before="120" w:after="0" w:line="260" w:lineRule="exact"/>
        <w:ind w:left="1440" w:right="0" w:firstLine="24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Equity Financing</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transaction or series of transactions with the principal purpose of raising capital, pursuant to which the Company issues and sells shares of Preferred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fixed pre-money valuation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sales price of not less than $250,000 (excluding all Subsequent Convertible Securities).</w:t>
      </w:r>
    </w:p>
    <w:p>
      <w:pPr>
        <w:keepNext w:val="0"/>
        <w:spacing w:before="120" w:after="0" w:line="260" w:lineRule="exact"/>
        <w:ind w:left="1440" w:right="0" w:firstLine="24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Initial Public Offering</w:t>
      </w:r>
      <w:r>
        <w:rPr>
          <w:rFonts w:ascii="Times New Roman" w:hAnsi="Times New Roman" w:eastAsia="Times New Roman" w:cs="Times New Roman"/>
          <w:b w:val="0"/>
          <w:sz w:val="24"/>
        </w:rPr>
        <w:t xml:space="preserve">" means the closing of the Company's first firm commitment underwritten initial public offering of Common Stock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filed under the Securities Act.</w:t>
      </w:r>
    </w:p>
    <w:p>
      <w:pPr>
        <w:keepNext w:val="0"/>
        <w:spacing w:before="120" w:after="0" w:line="260" w:lineRule="exact"/>
        <w:ind w:left="1440" w:right="0" w:firstLine="24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Liquidity Event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Public Offering.</w:t>
      </w:r>
    </w:p>
    <w:p>
      <w:pPr>
        <w:keepNext w:val="0"/>
        <w:spacing w:before="120" w:after="0" w:line="260" w:lineRule="exact"/>
        <w:ind w:left="1440" w:right="0" w:firstLine="24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Pro Rata Rights Agreement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agreement between the Company and the Investor (and holders of other Safes, as appropriate) giving the Investor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purchase its </w:t>
      </w:r>
      <w:r>
        <w:rPr>
          <w:rFonts w:ascii="Times New Roman" w:hAnsi="Times New Roman" w:eastAsia="Times New Roman" w:cs="Times New Roman"/>
          <w:b w:val="0"/>
          <w:sz w:val="24"/>
        </w:rPr>
        <w:t>pro rata</w:t>
      </w:r>
      <w:r>
        <w:rPr>
          <w:rFonts w:ascii="Times New Roman" w:hAnsi="Times New Roman" w:eastAsia="Times New Roman" w:cs="Times New Roman"/>
          <w:b w:val="0"/>
          <w:sz w:val="24"/>
        </w:rPr>
        <w:t xml:space="preserve"> share of private placements of securities by the Company </w:t>
      </w:r>
      <w:r>
        <w:rPr>
          <w:rFonts w:ascii="Times New Roman" w:hAnsi="Times New Roman" w:eastAsia="Times New Roman" w:cs="Times New Roman"/>
          <w:b/>
          <w:sz w:val="24"/>
        </w:rPr>
        <w:t>occurring after the Equity Financing</w:t>
      </w:r>
      <w:r>
        <w:rPr>
          <w:rFonts w:ascii="Times New Roman" w:hAnsi="Times New Roman" w:eastAsia="Times New Roman" w:cs="Times New Roman"/>
          <w:b w:val="0"/>
          <w:sz w:val="24"/>
        </w:rPr>
        <w:t xml:space="preserve">, subject to customary exceptions. </w:t>
      </w:r>
      <w:r>
        <w:rPr>
          <w:rFonts w:ascii="Times New Roman" w:hAnsi="Times New Roman" w:eastAsia="Times New Roman" w:cs="Times New Roman"/>
          <w:b w:val="0"/>
          <w:sz w:val="24"/>
        </w:rPr>
        <w:t>Pro rata</w:t>
      </w:r>
      <w:r>
        <w:rPr>
          <w:rFonts w:ascii="Times New Roman" w:hAnsi="Times New Roman" w:eastAsia="Times New Roman" w:cs="Times New Roman"/>
          <w:b w:val="0"/>
          <w:sz w:val="24"/>
        </w:rPr>
        <w:t xml:space="preserve"> for purposes of the Pro Rata Rights Agreement will be calculated based on the ratio of (1) the number of shares of Capital Stock owned by the Investor immediately prior to the issuance of the securities to (2) the total number of shares of outstanding Capital Stock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fully diluted basis, calculated as of immediately prior to the issuance of the securities.</w:t>
      </w:r>
    </w:p>
    <w:p>
      <w:pPr>
        <w:keepNext w:val="0"/>
        <w:spacing w:before="120" w:after="0" w:line="260" w:lineRule="exact"/>
        <w:ind w:left="1440" w:right="0" w:firstLine="24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SAFE</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containing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future right to shares of Capital Stock, similar in form and content to this instrument, purchased by investors for the purpose of funding the Company's business operations.</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Subsequent Convertible Securities</w:t>
      </w:r>
      <w:r>
        <w:rPr>
          <w:rFonts w:ascii="Times New Roman" w:hAnsi="Times New Roman" w:eastAsia="Times New Roman" w:cs="Times New Roman"/>
          <w:b w:val="0"/>
          <w:sz w:val="24"/>
        </w:rPr>
        <w:t>" means convertible securities that the Company may issue after the issuance of this instrument with the principal purpose of raising capital, including but not limited to, other Safes, convertible debt instruments and other convertible securities. Converting Securities excludes: (i) options issued pursuant to any equity incentive or similar plan of the Company; (ii) convertible securities issued or issuable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banks, equipment lessors, financial institutions or other persons engaged in the business of making loans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financing or commercial leasing or (B) suppliers or third party service providers in connection with the provision of goods or services pursuant to transactions; and (iii) convertible securities issued or issuable in connection with sponsored research, collaboration, technology license, development, OEM, marketing or other similar agreements or strategic partnerships.</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"MFN" Amendment Provision.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Company issues any Subsequent Convertible Securities prior to termination of this instrument, the Company will promptly provide the Investor with written notice thereof, together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all documentation relating to such Subsequent Convertible Securities and, upon written request of the Investor, any additional information related to such Subsequent Convertible Securities as may be reasonably requested by the Investor. In the event the Investor determines that the terms of the Subsequent Convertible Securities are preferable to the terms of this instrument, the Investor will notify the Company in writing. Promptly after receipt of such written notice from the Investor, the Company agrees to amend and restate this instrument to be identical to the instrument(s) evidencing the Subsequent Convertible Securities.</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Representations.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its incorporation, and has the power and authority to own, lease and operate its properties and carry on its business as now conducted.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The execution, delivery and performance by the Company of this instrument is within the power of the Company and, other than with respect to the actions to be taken when equity is to be issued to the Investor, has been duly authorized by all necessary actions on the part of the Company. This instrument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obligation of the Company, enforceable against the Company in accordance with its terms, except as limited by bankruptcy, insolvency or other laws of general application relating to or affecting the enforcement of creditors' rights generally and general principles of equity. To the knowledge of the Company, it is not in violation of (i) its current certificate of incorporation or bylaws, (ii) any material statute, rule or regulation applicable to the Company or (iii) any material indenture or contract to which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it is bound, where, in each case, such violation or default, individually, or together with all such violations or defaults, could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The performance and consummation of the transactions contemplated by this instrument do not and will not: (i) violate any material judgment, statute, rule or regulation applicable to the Company; (ii) result in the acceleration of any material indenture or contract to which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it is bound; or (iii) result in the creation or imposition of any lien upon any property, asset or revenue of the Company or the suspension, forfeiture, or nonrenewal of any material permit, license or authorization applicable to the Company, its business or operations.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No consents or approvals are required in connection with the performance of this instrument, other than: (i) the Company's corporate approvals; (ii) any qualifications or filings under applicable securities laws; and (iii) necessary corporate approvals for the authorization of Capital Stock issuable pursuant to 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its knowledge, the Company owns or possesses (or can obtain on commercially reasonable terms) sufficient legal rights to all patents, trademarks, service marks, trade names, copyrights, trade secrets, licenses, information, processes and other intellectual property rights necessary for its business as now conducted and as currently proposed to be conducted, without any conflict with, or infringement of the rights of, others.</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Investor Representations.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The Investor has full legal capacity, power and authority to execute and deliver this instrument and to perform its obligations hereunder. This instrument constitutes valid and binding obligation of the Investor, enforceable in accordance with its terms, except as limited by bankruptcy, insolvency or other laws of general application relating to or affecting the enforcement of creditors' rights generally and general principles of equity.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The Investor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as such term is defined in Rule 501 of Regulation D under the Securities Act. The Investor has been advised that this instrument and the underlying securities have not been registered under the Securities Act, or any state securities laws and, therefore, cannot be resold unless they are registered under the Securities Act and applicable state securities laws or unless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from such registration requirements is available. The Investor is purchasing this instrument and the securities to be acquired by the Investor hereunder for its own account for investment, not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nominee or agent,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resale in connection with, the distribution thereof, and the Investor has no present intention of selling, granting any participation in, or otherwise distributing the same. The Investor has such knowledge and experience in financial and business matters that the Investor is capable of evaluating the merits and risks of such investment, is able to incur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loss of such investment without impairing the Investor's financial condition and is able to bear the economic risk of such investment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indefinite period of time.</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Any provision of this instrument may be amended, waived or modified only upon the written consent of the Company and the Investor.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Any notice required or permitted by this instrument will be deemed sufficient when delivered personally or by overnight courier or sent by email to the relevant address listed on the signature page, or 48 hours after being deposited in the U.S. mail as certified or registered mail with postage prepaid, addressed to the party to be notified at such party's address listed on the signature page, as subsequently modified by written notice.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The Investor is not entitled,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this instrument, to vote or receive dividends or be deemed the holder of Capital Stock for any purpose, nor will anything contained herein be construed to confer on the Investor, as such, any of the rights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of the Company or any right to vote for the election of directors or upon any matter submitted to stockholders at any meeting thereof, or to give or withhold consent to any corporate action or to receive notice of meetings, or to receive subscription rights or otherwise until shares have been issued upon the terms described herein.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Neither this instrument nor the rights contained herein may be assigned, by operation of law or otherwise, by either party without the prior written consent of the other;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this instrument and/or the rights contained herein may be assigned without the Company's consent by the Investor to any other entity who directly or indirectly, controls, is controlled by or is under common control with the Investor, including, without limitation, any general partner, managing member, officer or director of the Investor, or any venture capital fund now or hereafter existing which is controlled by one or more general partners or managing members of, or shares the same management company with, the Investor;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xml:space="preserve">, that the Company may assign this instrument in whole, without the consent of the Investor,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reincorporation to change the Company's domicile.</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In the event any one or more of the provisions of this instrument is for any reason held to be invalid, illegal or unenforceable, in whole or in part or in any respect, or in the event that any one or more of the provisions of this instrument operate or would prospectively operate to invalidate this instrument, then and in any such event, such provision(s) only will be deemed null and void and will not affect any other provision of this instrument and the remaining provisions of this instrument will remain operative and in full force and effect and will not be affected, prejudiced, or disturbed thereby.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All rights and obligations hereunder will be governed by the laws of the State of [Governing Law Jurisdiction], without regard to the conflicts of law provisions of such jurisdiction.</w:t>
      </w:r>
    </w:p>
    <w:p>
      <w:pPr>
        <w:keepNext w:val="0"/>
        <w:spacing w:before="200" w:after="0" w:line="260" w:lineRule="exact"/>
        <w:ind w:left="72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caused this instrument to be duly executed and delivered.</w:t>
      </w:r>
    </w:p>
    <w:p>
      <w:pPr>
        <w:keepNext w:val="0"/>
        <w:spacing w:before="120" w:after="0" w:line="260" w:lineRule="exact"/>
        <w:ind w:left="360" w:right="0" w:firstLine="0"/>
        <w:jc w:val="left"/>
      </w:pPr>
      <w:r>
        <w:rPr>
          <w:rFonts w:ascii="Times New Roman" w:hAnsi="Times New Roman" w:eastAsia="Times New Roman" w:cs="Times New Roman"/>
          <w:b/>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Email: _________________________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INVESTOR:</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Email: _________________________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