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of Bylaws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Board Resolution: Amendment of Bylaws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to consider amendment of the Corporation’s Bylaws to reflect the changes identified;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New Jersey Business Corporation Act;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[certificate of incorporation, bylaws, etc.] of [name of corporation] authorize the amendment of the Bylaws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Bylaws of [name of corporation] are hereby amended as expressly set forth herein:</w:t>
      </w:r>
    </w:p>
    <w:p>
      <w:pPr>
        <w:keepNext w:val="0"/>
        <w:spacing w:before="200" w:after="0" w:line="260" w:lineRule="exact"/>
        <w:ind w:left="1080" w:right="0" w:firstLine="0"/>
        <w:jc w:val="both"/>
      </w:pPr>
      <w:r>
        <w:rPr>
          <w:rFonts w:ascii="Times New Roman" w:hAnsi="Times New Roman" w:eastAsia="Times New Roman" w:cs="Times New Roman"/>
          <w:b w:val="0"/>
          <w:sz w:val="24"/>
        </w:rPr>
        <w:t>[detail the amendments to the bylaws with specificity];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are, and each acting alone is, hereby authorized to do and perform all such acts, including execution of any and all documents and certificates, as such officers shall deem necessary or advisable, to carry out the purposes and intent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this Board Resolution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