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Charter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the Charter;</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Tenn. Code Ann. § 48-20-103, the shareholders of the Corporation have voted to approve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Tennessee Secretary of State Articles of Amendment with respect to the below amendment to Article [ARTICLE NUMBER] of this Corporation's Charter.</w:t>
      </w:r>
    </w:p>
    <w:p>
      <w:pPr>
        <w:keepNext w:val="0"/>
        <w:spacing w:before="200" w:after="0" w:line="260" w:lineRule="exact"/>
        <w:ind w:left="360" w:right="0" w:firstLine="0"/>
        <w:jc w:val="center"/>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