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Appointing Officers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on [Date], the annual meeting of the Board of Directors of [Name of Corporation] was held to appoint officers of the Corporation;</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New Jersey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[Names of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[Names of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following persons be appointed to the offices set opposite their respective names, to serve for the ensuing corporate year or until their successors are duly elected and qualified or until such officer sooner dies, resigns, is removed or becomes disqualified:</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Vice President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Secretary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 Chief Financial Officer</w:t>
      </w:r>
    </w:p>
    <w:p>
      <w:pPr>
        <w:keepNext w:val="0"/>
        <w:spacing w:before="200" w:after="0" w:line="260" w:lineRule="exact"/>
        <w:ind w:left="360" w:right="0" w:firstLine="0"/>
        <w:jc w:val="both"/>
      </w:pPr>
      <w:r>
        <w:rPr>
          <w:rFonts w:ascii="Times New Roman" w:hAnsi="Times New Roman" w:eastAsia="Times New Roman" w:cs="Times New Roman"/>
          <w:b/>
          <w:sz w:val="24"/>
        </w:rPr>
        <w:t>FURTHER RESOLVED</w:t>
      </w:r>
      <w:r>
        <w:rPr>
          <w:rFonts w:ascii="Times New Roman" w:hAnsi="Times New Roman" w:eastAsia="Times New Roman" w:cs="Times New Roman"/>
          <w:b w:val="0"/>
          <w:sz w:val="24"/>
        </w:rPr>
        <w:t>, that any actions taken by such officers prior to the date of the foregoing Resolutions adopted hereby that are within the authority conferred thereby are hereby ratified, confirmed and approved as the acts and deeds of this Corporation.</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these Resolutions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[Name of Corporation] CORPORATION</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