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Board Resolution: Asset or Share Contributions to Wholly Owned Subsidiary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Resolution: Contribution of [Assets] [Capital Shares] to [Name of Subsidiary], a Wholly Owned Subsidiary</w:t>
      </w:r>
    </w:p>
    <w:p>
      <w:pPr/>
      <w:r>
        <w:rPr>
          <w:rFonts w:ascii="Times New Roman" w:hAnsi="Times New Roman" w:eastAsia="Times New Roman" w:cs="Times New Roman"/>
          <w:sz w:val="24"/>
        </w:rPr>
        <w:t>Whereas on [DATE], a meeting [consisting of a valid quorum] of the Board of Directors of this Corporation was duly held for the Directors to consider the matter in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Whereas [a majority] of the Board of Directors [present at the meeting] voted and affirmatively agreed that it is in the best interests of this Corporation and its shareholders to pass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>That the Board does hereby approve the creation of [name of subsidiary] as a subsidiary of this Corporation in [STATE];</w:t>
      </w:r>
    </w:p>
    <w:p>
      <w:pPr/>
      <w:r>
        <w:rPr>
          <w:rFonts w:ascii="Times New Roman" w:hAnsi="Times New Roman" w:eastAsia="Times New Roman" w:cs="Times New Roman"/>
          <w:sz w:val="24"/>
        </w:rPr>
        <w:t>That, for and in consideration of a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/>
      <w:r>
        <w:rPr>
          <w:rFonts w:ascii="Times New Roman" w:hAnsi="Times New Roman" w:eastAsia="Times New Roman" w:cs="Times New Roman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That every officer of this Corporation is hereby authorized to perform any acts necessary, or advisable, and proper to execute the purposes of this Resolution.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