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 xml:space="preserve">Board Resolution: Creating Nominating and Governance Committee and </w:t>
      </w:r>
      <w:r>
        <w:rPr>
          <w:rFonts w:ascii="Times New Roman" w:hAnsi="Times New Roman" w:eastAsia="Times New Roman" w:cs="Times New Roman"/>
          <w:sz w:val="24"/>
        </w:rPr>
        <w:t>Adopting Committee Charter</w:t>
      </w:r>
    </w:p>
    <w:p>
      <w:pPr/>
      <w:r>
        <w:rPr>
          <w:rFonts w:ascii="Times New Roman" w:hAnsi="Times New Roman" w:eastAsia="Times New Roman" w:cs="Times New Roman"/>
          <w:sz w:val="24"/>
        </w:rPr>
        <w:t>ADOPTED AT MEETING</w:t>
      </w:r>
    </w:p>
    <w:p>
      <w:pPr/>
      <w:r>
        <w:rPr>
          <w:rFonts w:ascii="Times New Roman" w:hAnsi="Times New Roman" w:eastAsia="Times New Roman" w:cs="Times New Roman"/>
          <w:b/>
          <w:sz w:val="24"/>
        </w:rPr>
        <w:t>WHEREAS</w:t>
      </w:r>
      <w:r>
        <w:rPr>
          <w:rFonts w:ascii="Times New Roman" w:hAnsi="Times New Roman" w:eastAsia="Times New Roman" w:cs="Times New Roman"/>
          <w:sz w:val="24"/>
        </w:rPr>
        <w:t>, pursuant to Section 141(c)(2) of the Delaware General Corporation Law and the Corporation’s Bylaws, the Corporation desires to establish a Nominating and Governance Committee to (i) identify individuals qualified to become Board members; (ii) select, or recommend the Board select, the director nominees for the next Annual Meeting of Stockholders; (iii) develop and recommend to the Board a set of corporate governance principals applicable to the Corporation; and (iv) oversee the evaluation of the Board of Directors and management;</w:t>
      </w:r>
    </w:p>
    <w:p>
      <w:pPr/>
      <w:r>
        <w:rPr>
          <w:rFonts w:ascii="Times New Roman" w:hAnsi="Times New Roman" w:eastAsia="Times New Roman" w:cs="Times New Roman"/>
          <w:b/>
          <w:sz w:val="24"/>
        </w:rPr>
        <w:t>WHEREAS</w:t>
      </w:r>
      <w:r>
        <w:rPr>
          <w:rFonts w:ascii="Times New Roman" w:hAnsi="Times New Roman" w:eastAsia="Times New Roman" w:cs="Times New Roman"/>
          <w:sz w:val="24"/>
        </w:rPr>
        <w:t xml:space="preserve">, a proposed draft of the Committee’s charter, in the form attached as </w:t>
      </w:r>
      <w:r>
        <w:rPr>
          <w:rFonts w:ascii="Times New Roman" w:hAnsi="Times New Roman" w:eastAsia="Times New Roman" w:cs="Times New Roman"/>
          <w:sz w:val="24"/>
        </w:rPr>
        <w:t>Exhibit</w:t>
      </w:r>
      <w:r>
        <w:rPr>
          <w:rFonts w:ascii="Times New Roman" w:hAnsi="Times New Roman" w:eastAsia="Times New Roman" w:cs="Times New Roman"/>
          <w:sz w:val="24"/>
        </w:rPr>
        <w:t xml:space="preserve"> A, was distributed to each of the members of the Board of Directors;</w:t>
      </w:r>
    </w:p>
    <w:p>
      <w:pPr/>
      <w:r>
        <w:rPr>
          <w:rFonts w:ascii="Times New Roman" w:hAnsi="Times New Roman" w:eastAsia="Times New Roman" w:cs="Times New Roman"/>
          <w:b/>
          <w:sz w:val="24"/>
        </w:rPr>
        <w:t>WHEREAS</w:t>
      </w:r>
      <w:r>
        <w:rPr>
          <w:rFonts w:ascii="Times New Roman" w:hAnsi="Times New Roman" w:eastAsia="Times New Roman" w:cs="Times New Roman"/>
          <w:sz w:val="24"/>
        </w:rPr>
        <w:t>, on [DATE], a special meeting of the Board of Directors was held to approve establishment of the Committee and the proposed charter;</w:t>
      </w:r>
    </w:p>
    <w:p>
      <w:pPr/>
      <w:r>
        <w:rPr>
          <w:rFonts w:ascii="Times New Roman" w:hAnsi="Times New Roman" w:eastAsia="Times New Roman" w:cs="Times New Roman"/>
          <w:b/>
          <w:sz w:val="24"/>
        </w:rPr>
        <w:t>WHEREAS</w:t>
      </w:r>
      <w:r>
        <w:rPr>
          <w:rFonts w:ascii="Times New Roman" w:hAnsi="Times New Roman" w:eastAsia="Times New Roman" w:cs="Times New Roman"/>
          <w:sz w:val="24"/>
        </w:rPr>
        <w:t>, notice of the meeting was properly given on [DATE] in accordance with the Corporation’s Bylaws and the Delaware General Corporation Law;</w:t>
      </w:r>
    </w:p>
    <w:p>
      <w:pPr/>
      <w:r>
        <w:rPr>
          <w:rFonts w:ascii="Times New Roman" w:hAnsi="Times New Roman" w:eastAsia="Times New Roman" w:cs="Times New Roman"/>
          <w:b/>
          <w:sz w:val="24"/>
        </w:rPr>
        <w:t>WHEREAS</w:t>
      </w:r>
      <w:r>
        <w:rPr>
          <w:rFonts w:ascii="Times New Roman" w:hAnsi="Times New Roman" w:eastAsia="Times New Roman" w:cs="Times New Roman"/>
          <w:sz w:val="24"/>
        </w:rPr>
        <w:t>, present at the meeting were the following Directors: [NAMES OF DIRECTORS PRESENT AT THE MEETING], constituting a quorum of the Board of Directors;</w:t>
      </w:r>
    </w:p>
    <w:p>
      <w:pPr/>
      <w:r>
        <w:rPr>
          <w:rFonts w:ascii="Times New Roman" w:hAnsi="Times New Roman" w:eastAsia="Times New Roman" w:cs="Times New Roman"/>
          <w:b/>
          <w:sz w:val="24"/>
        </w:rPr>
        <w:t>WHEREAS</w:t>
      </w:r>
      <w:r>
        <w:rPr>
          <w:rFonts w:ascii="Times New Roman" w:hAnsi="Times New Roman" w:eastAsia="Times New Roman" w:cs="Times New Roman"/>
          <w:sz w:val="24"/>
        </w:rPr>
        <w:t>, absent from the meeting were the following Directors: [NAMES OF DIRECTORS ABSENT FROM THE MEETING];</w:t>
      </w:r>
    </w:p>
    <w:p>
      <w:pPr/>
      <w:r>
        <w:rPr>
          <w:rFonts w:ascii="Times New Roman" w:hAnsi="Times New Roman" w:eastAsia="Times New Roman" w:cs="Times New Roman"/>
          <w:b/>
          <w:sz w:val="24"/>
        </w:rPr>
        <w:t>WHEREAS</w:t>
      </w:r>
      <w:r>
        <w:rPr>
          <w:rFonts w:ascii="Times New Roman" w:hAnsi="Times New Roman" w:eastAsia="Times New Roman" w:cs="Times New Roman"/>
          <w:sz w:val="24"/>
        </w:rPr>
        <w:t>, a majority of the Board of Directors present at the meeting affirmatively voted to adopt the following resolution(s) granting such authority;</w:t>
      </w:r>
    </w:p>
    <w:p>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Committee be, and is hereby established, and that the Charter attached as </w:t>
      </w:r>
      <w:r>
        <w:rPr>
          <w:rFonts w:ascii="Times New Roman" w:hAnsi="Times New Roman" w:eastAsia="Times New Roman" w:cs="Times New Roman"/>
          <w:sz w:val="24"/>
        </w:rPr>
        <w:t>Exhibit</w:t>
      </w:r>
      <w:r>
        <w:rPr>
          <w:rFonts w:ascii="Times New Roman" w:hAnsi="Times New Roman" w:eastAsia="Times New Roman" w:cs="Times New Roman"/>
          <w:sz w:val="24"/>
        </w:rPr>
        <w:t xml:space="preserve"> A is hereby approved and adopted as the Committee’s Charter.</w:t>
      </w:r>
    </w:p>
    <w:p>
      <w:pPr/>
    </w:p>
    <w:p>
      <w:pPr/>
      <w:r>
        <w:rPr>
          <w:rFonts w:ascii="Times New Roman" w:hAnsi="Times New Roman" w:eastAsia="Times New Roman" w:cs="Times New Roman"/>
          <w:b/>
          <w:sz w:val="24"/>
        </w:rPr>
        <w:t>IN WITNESS WHEREOF</w:t>
      </w:r>
      <w:r>
        <w:rPr>
          <w:rFonts w:ascii="Times New Roman" w:hAnsi="Times New Roman" w:eastAsia="Times New Roman" w:cs="Times New Roman"/>
          <w:sz w:val="24"/>
        </w:rPr>
        <w:t>, the Corporation has caused this Resolution to be duly executed by its President and attested to by its Secretary this [DATE] and placed in the Corporation’s minute records.</w:t>
      </w:r>
    </w:p>
    <w:p>
      <w:pPr/>
      <w:r>
        <w:rPr>
          <w:rFonts w:ascii="Times New Roman" w:hAnsi="Times New Roman" w:eastAsia="Times New Roman" w:cs="Times New Roman"/>
          <w:sz w:val="24"/>
        </w:rPr>
        <w:t>CORPORATION</w:t>
      </w:r>
    </w:p>
    <w:p>
      <w:pPr/>
    </w:p>
    <w:p>
      <w:pPr/>
    </w:p>
    <w:p>
      <w:pPr/>
    </w:p>
    <w:p>
      <w:pPr/>
      <w:r>
        <w:rPr>
          <w:rFonts w:ascii="Times New Roman" w:hAnsi="Times New Roman" w:eastAsia="Times New Roman" w:cs="Times New Roman"/>
          <w:sz w:val="24"/>
        </w:rPr>
        <w:t xml:space="preserve">Exhibit </w:t>
      </w:r>
      <w:r>
        <w:rPr>
          <w:rFonts w:ascii="Times New Roman" w:hAnsi="Times New Roman" w:eastAsia="Times New Roman" w:cs="Times New Roman"/>
          <w:sz w:val="24"/>
        </w:rPr>
        <w:t>A.</w:t>
      </w:r>
      <w:r>
        <w:rPr>
          <w:rFonts w:ascii="Times New Roman" w:hAnsi="Times New Roman" w:eastAsia="Times New Roman" w:cs="Times New Roman"/>
          <w:sz w:val="24"/>
        </w:rPr>
        <w:t xml:space="preserve"> Charter for Nominating and Governance Committee</w:t>
      </w:r>
      <w:r>
        <w:rPr>
          <w:rFonts w:ascii="Times New Roman" w:hAnsi="Times New Roman" w:eastAsia="Times New Roman" w:cs="Times New Roman"/>
          <w:sz w:val="24"/>
        </w:rPr>
        <w:t>.</w:t>
      </w:r>
    </w:p>
    <w:p>
      <w:pPr/>
      <w:r>
        <w:rPr>
          <w:rFonts w:ascii="Times New Roman" w:hAnsi="Times New Roman" w:eastAsia="Times New Roman" w:cs="Times New Roman"/>
          <w:sz w:val="24"/>
        </w:rPr>
        <w:t>Formation.</w:t>
      </w:r>
    </w:p>
    <w:p>
      <w:pPr/>
      <w:r>
        <w:rPr>
          <w:rFonts w:ascii="Times New Roman" w:hAnsi="Times New Roman" w:eastAsia="Times New Roman" w:cs="Times New Roman"/>
          <w:sz w:val="24"/>
        </w:rPr>
        <w:t>The Board of Directors of [NAME OF CORPORATION], a Delaware corporation (the “Corporation”), has established the Nominating and Governance Committee pursuant to Section 141(c)(2) of the Delaware General Corporation Law and the Corporation’s Bylaws.</w:t>
      </w:r>
    </w:p>
    <w:p>
      <w:pPr/>
      <w:r>
        <w:rPr>
          <w:rFonts w:ascii="Times New Roman" w:hAnsi="Times New Roman" w:eastAsia="Times New Roman" w:cs="Times New Roman"/>
          <w:sz w:val="24"/>
        </w:rPr>
        <w:t>Composition.</w:t>
      </w:r>
    </w:p>
    <w:p>
      <w:pPr/>
      <w:r>
        <w:rPr>
          <w:rFonts w:ascii="Times New Roman" w:hAnsi="Times New Roman" w:eastAsia="Times New Roman" w:cs="Times New Roman"/>
          <w:sz w:val="24"/>
        </w:rPr>
        <w:t>The Nominating and Governance Committee (the “Committee”) shall be comprised of not less than [NUMBER, e.g., three] members of the Board of Directors of the Corporation. Subject to the foregoing, the exact number of members of the Committee shall be fixed and may be changed from time to time by resolution duly adopted by the Board of Directors. The Committee members will be appointed by the Board of Directors and may be removed by the Board in its discretion.</w:t>
      </w:r>
    </w:p>
    <w:p>
      <w:pPr/>
      <w:r>
        <w:rPr>
          <w:rFonts w:ascii="Times New Roman" w:hAnsi="Times New Roman" w:eastAsia="Times New Roman" w:cs="Times New Roman"/>
          <w:sz w:val="24"/>
        </w:rPr>
        <w:t>Purpose and Responsibilities.</w:t>
      </w:r>
    </w:p>
    <w:p>
      <w:pPr/>
      <w:r>
        <w:rPr>
          <w:rFonts w:ascii="Times New Roman" w:hAnsi="Times New Roman" w:eastAsia="Times New Roman" w:cs="Times New Roman"/>
          <w:sz w:val="24"/>
        </w:rPr>
        <w:t>The primary purpose of the Committee is to: (i) identify individuals qualified to become Board members; (ii) select, or recommend the Board select, the director nominees for the next Annual Meeting of Stockholders; (iii) develop and recommend to the Board a set of corporate governance principals applicable to the Corporation; and (iv) oversee the evaluation of the Board of Directors and management.</w:t>
      </w:r>
    </w:p>
    <w:p>
      <w:pPr/>
      <w:r>
        <w:rPr>
          <w:rFonts w:ascii="Times New Roman" w:hAnsi="Times New Roman" w:eastAsia="Times New Roman" w:cs="Times New Roman"/>
          <w:sz w:val="24"/>
        </w:rPr>
        <w:t>The Committee shall:</w:t>
      </w:r>
    </w:p>
    <w:p>
      <w:pPr/>
      <w:r>
        <w:rPr>
          <w:rFonts w:ascii="Times New Roman" w:hAnsi="Times New Roman" w:eastAsia="Times New Roman" w:cs="Times New Roman"/>
          <w:b/>
          <w:sz w:val="24"/>
        </w:rPr>
        <w:t>Qualification of Directors</w:t>
      </w:r>
      <w:r>
        <w:rPr>
          <w:rFonts w:ascii="Times New Roman" w:hAnsi="Times New Roman" w:eastAsia="Times New Roman" w:cs="Times New Roman"/>
          <w:sz w:val="24"/>
        </w:rPr>
        <w:t>: Periodically communicate with the full Board concerning the Board’s criteria for selecting directors in light of the Board’s composition, corporate governance policies, applicable listing standards and laws, and other factors considered appropriate by the Board.</w:t>
      </w:r>
    </w:p>
    <w:p>
      <w:pPr/>
      <w:r>
        <w:rPr>
          <w:rFonts w:ascii="Times New Roman" w:hAnsi="Times New Roman" w:eastAsia="Times New Roman" w:cs="Times New Roman"/>
          <w:b/>
          <w:sz w:val="24"/>
        </w:rPr>
        <w:t>Director Nominees</w:t>
      </w:r>
      <w:r>
        <w:rPr>
          <w:rFonts w:ascii="Times New Roman" w:hAnsi="Times New Roman" w:eastAsia="Times New Roman" w:cs="Times New Roman"/>
          <w:sz w:val="24"/>
        </w:rPr>
        <w:t>: Identify and recommend to the Board the director nominees to be selected by the Corporation’s Board of Directors for each annual meeting of stockholders and individuals to be elected by the Board to fill vacancies and newly created directorships. This process shall include evaluation and consideration of any incumbent directors eligible for re-election as well as stockholder nominees. The Committee shall assess each proposed nominee’s expertise and experience, and shall consider the number and types of other public corporation boards on which the individual serves, composition of the Board at that time, and other relevant factors.</w:t>
      </w:r>
    </w:p>
    <w:p>
      <w:pPr/>
      <w:r>
        <w:rPr>
          <w:rFonts w:ascii="Times New Roman" w:hAnsi="Times New Roman" w:eastAsia="Times New Roman" w:cs="Times New Roman"/>
          <w:b/>
          <w:sz w:val="24"/>
        </w:rPr>
        <w:t>Committee Appointments</w:t>
      </w:r>
      <w:r>
        <w:rPr>
          <w:rFonts w:ascii="Times New Roman" w:hAnsi="Times New Roman" w:eastAsia="Times New Roman" w:cs="Times New Roman"/>
          <w:sz w:val="24"/>
        </w:rPr>
        <w:t>: If and when requested periodically by the Board, identify and recommend to the Board the appointees to be selected by the Board for service on the audit, compensation, nominating and corporate governance and other key committees of the Board.</w:t>
      </w:r>
    </w:p>
    <w:p>
      <w:pPr/>
      <w:r>
        <w:rPr>
          <w:rFonts w:ascii="Times New Roman" w:hAnsi="Times New Roman" w:eastAsia="Times New Roman" w:cs="Times New Roman"/>
          <w:b/>
          <w:sz w:val="24"/>
        </w:rPr>
        <w:t>Retention of Search Firm</w:t>
      </w:r>
      <w:r>
        <w:rPr>
          <w:rFonts w:ascii="Times New Roman" w:hAnsi="Times New Roman" w:eastAsia="Times New Roman" w:cs="Times New Roman"/>
          <w:sz w:val="24"/>
        </w:rPr>
        <w:t>: Have sole authority to retain and terminate any search firm used to identify director candidates and to approve the search firm’s fees and other retention terms.</w:t>
      </w:r>
    </w:p>
    <w:p>
      <w:pPr/>
      <w:r>
        <w:rPr>
          <w:rFonts w:ascii="Times New Roman" w:hAnsi="Times New Roman" w:eastAsia="Times New Roman" w:cs="Times New Roman"/>
          <w:b/>
          <w:sz w:val="24"/>
        </w:rPr>
        <w:t>CEO Consultation</w:t>
      </w:r>
      <w:r>
        <w:rPr>
          <w:rFonts w:ascii="Times New Roman" w:hAnsi="Times New Roman" w:eastAsia="Times New Roman" w:cs="Times New Roman"/>
          <w:sz w:val="24"/>
        </w:rPr>
        <w:t>: Actively consult with the Corporation’s CEO as representative of the Corporation’s management prior to recommending to the Board the nomination of any incumbent or new director nominees for election at the annual meeting.</w:t>
      </w:r>
    </w:p>
    <w:p>
      <w:pPr/>
      <w:r>
        <w:rPr>
          <w:rFonts w:ascii="Times New Roman" w:hAnsi="Times New Roman" w:eastAsia="Times New Roman" w:cs="Times New Roman"/>
          <w:b/>
          <w:sz w:val="24"/>
        </w:rPr>
        <w:t>Governance Policies</w:t>
      </w:r>
      <w:r>
        <w:rPr>
          <w:rFonts w:ascii="Times New Roman" w:hAnsi="Times New Roman" w:eastAsia="Times New Roman" w:cs="Times New Roman"/>
          <w:sz w:val="24"/>
        </w:rPr>
        <w:t>: Develop, or suggest changes in, corporate governance principles to be recommended to the Board and which are appropriate for the Corporation in light of the listing standards and nature of the Corporation’s business, including the general corporate governance guidelines, code of business conduct and ethics and means of communicating these matters.</w:t>
      </w:r>
    </w:p>
    <w:p>
      <w:pPr/>
      <w:r>
        <w:rPr>
          <w:rFonts w:ascii="Times New Roman" w:hAnsi="Times New Roman" w:eastAsia="Times New Roman" w:cs="Times New Roman"/>
          <w:b/>
          <w:sz w:val="24"/>
        </w:rPr>
        <w:t>Board Review</w:t>
      </w:r>
      <w:r>
        <w:rPr>
          <w:rFonts w:ascii="Times New Roman" w:hAnsi="Times New Roman" w:eastAsia="Times New Roman" w:cs="Times New Roman"/>
          <w:sz w:val="24"/>
        </w:rPr>
        <w:t>: Periodically assess the composition of the Board in light of the skills and background of incumbent directors, changed circumstances, if any, affecting individual directors which may bear on future service as board members, and the Board’s plans and policies for succession planning for senior management, and otherwise oversee an annual evaluation of the full Board and of management.</w:t>
      </w:r>
    </w:p>
    <w:p>
      <w:pPr/>
      <w:r>
        <w:rPr>
          <w:rFonts w:ascii="Times New Roman" w:hAnsi="Times New Roman" w:eastAsia="Times New Roman" w:cs="Times New Roman"/>
          <w:b/>
          <w:sz w:val="24"/>
        </w:rPr>
        <w:t>Annual Performance Review</w:t>
      </w:r>
      <w:r>
        <w:rPr>
          <w:rFonts w:ascii="Times New Roman" w:hAnsi="Times New Roman" w:eastAsia="Times New Roman" w:cs="Times New Roman"/>
          <w:sz w:val="24"/>
        </w:rPr>
        <w:t>: Evaluate its performance as the Nominating/Governance Committee on an annual basis, and review and reassess the adequacy of this Charter annually and recommend any proposed changes to the Board for approval.</w:t>
      </w:r>
    </w:p>
    <w:p>
      <w:pPr/>
      <w:r>
        <w:rPr>
          <w:rFonts w:ascii="Times New Roman" w:hAnsi="Times New Roman" w:eastAsia="Times New Roman" w:cs="Times New Roman"/>
          <w:b/>
          <w:sz w:val="24"/>
        </w:rPr>
        <w:t>Reports</w:t>
      </w:r>
      <w:r>
        <w:rPr>
          <w:rFonts w:ascii="Times New Roman" w:hAnsi="Times New Roman" w:eastAsia="Times New Roman" w:cs="Times New Roman"/>
          <w:sz w:val="24"/>
        </w:rPr>
        <w:t>: Within a reasonable time before the Corporation’s annual stockholder’s meeting, but in all cases before proxy statements are prepared, provide recommendations for director nominees. Also report to the Board annually the results of (i) an oversight review of the performance of the Board of Directors; (ii) the Committee’s assessment of the Corporation’s corporate governance guidelines and implementation; and (iii) an annual review by the Committee of its own performance.</w:t>
      </w:r>
    </w:p>
    <w:p>
      <w:pPr/>
      <w:r>
        <w:rPr>
          <w:rFonts w:ascii="Times New Roman" w:hAnsi="Times New Roman" w:eastAsia="Times New Roman" w:cs="Times New Roman"/>
          <w:b/>
          <w:sz w:val="24"/>
        </w:rPr>
        <w:t>Other Functions</w:t>
      </w:r>
      <w:r>
        <w:rPr>
          <w:rFonts w:ascii="Times New Roman" w:hAnsi="Times New Roman" w:eastAsia="Times New Roman" w:cs="Times New Roman"/>
          <w:sz w:val="24"/>
        </w:rPr>
        <w:t>: Perform such other functions as the Board of Directors may from time to time direct.</w:t>
      </w:r>
    </w:p>
    <w:p>
      <w:pPr/>
      <w:r>
        <w:rPr>
          <w:rFonts w:ascii="Times New Roman" w:hAnsi="Times New Roman" w:eastAsia="Times New Roman" w:cs="Times New Roman"/>
          <w:sz w:val="24"/>
        </w:rPr>
        <w:t>Authority and Procedures.</w:t>
      </w:r>
    </w:p>
    <w:p>
      <w:pPr/>
      <w:r>
        <w:rPr>
          <w:rFonts w:ascii="Times New Roman" w:hAnsi="Times New Roman" w:eastAsia="Times New Roman" w:cs="Times New Roman"/>
          <w:sz w:val="24"/>
        </w:rPr>
        <w:t>The Committee shall meet at least [NUMBER OF TIMES, e.g., twice] a year and shall keep regular minutes of its meetings. The Committee, as it may determine to be appropriate, may meet in separate executive sessions with other directors, the CEO and other Corporation employees, agents or representatives invited by the Committee. The Committee’s Chairman shall be designated by the full Board or, if it does not do so, the Committee members shall elect a Chairman by vote of a majority of the full Committee. The Chairman of the Committee will preside at each meeting of the Committee and, in consultation with the other members of the Committee, shall set the frequency and length of each meeting and the agenda of items to be addressed at each meeting. The Committee is at all times authorized to have direct, independent access to the Corporation’s other directors and management. The Committee shall have the power to hire independent legal, financial or other advisors, as it deems necessary, without consulting or obtaining the approval of any officer of the Corporation in advance. The Committee shall have the authority to delegate any of its responsibilities to subcommittees as the Committee may deem appropriate, provided the subcommittee is composed entirely of independent directors and has a published committee charter.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