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 Declaring Accrued and Current Dividends to Preferred Shares</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it is the opinion of the Board of Directors, after examining the report of the Treasurer for the fiscal year ended [date], that the Corporation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to declare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dividend equal to the accrued and current dividends required to be paid on the preferred stock;</w:t>
      </w:r>
    </w:p>
    <w:p>
      <w:pPr>
        <w:keepNext w:val="0"/>
        <w:spacing w:before="200" w:after="0" w:line="260" w:lineRule="exact"/>
        <w:ind w:left="360" w:right="0" w:firstLine="0"/>
        <w:jc w:val="both"/>
      </w:pPr>
      <w:r>
        <w:rPr>
          <w:rFonts w:ascii="Times New Roman" w:hAnsi="Times New Roman" w:eastAsia="Times New Roman" w:cs="Times New Roman"/>
          <w:b w:val="0"/>
          <w:sz w:val="24"/>
        </w:rPr>
        <w:t>IT IS RESOLVED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Declaration of accrued dividend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of [percent] of par value is declared payable on the outstanding preferred stock of the Corporation to the preferred stockholders of record at the close of business on [date]. Said dividend is in satisfaction of the dividends which accrued but were unpaid for the fiscal years ended [dates].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Declaration of current dividend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of [percent] of par value is declared payable on the outstanding preferred stock of the Corporation to the preferred shareholders of record at the close of business on [date].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Segregation of funds</w:t>
      </w:r>
      <w:r>
        <w:rPr>
          <w:rFonts w:ascii="Times New Roman" w:hAnsi="Times New Roman" w:eastAsia="Times New Roman" w:cs="Times New Roman"/>
          <w:b w:val="0"/>
          <w:sz w:val="24"/>
        </w:rPr>
        <w:t>. The Treasurer is authorized to set apart from the general assets of the corporation sufficient funds to pay said dividends. Said dividends shall be paid no later than [date].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Elimination of voting rights</w:t>
      </w:r>
      <w:r>
        <w:rPr>
          <w:rFonts w:ascii="Times New Roman" w:hAnsi="Times New Roman" w:eastAsia="Times New Roman" w:cs="Times New Roman"/>
          <w:b w:val="0"/>
          <w:sz w:val="24"/>
        </w:rPr>
        <w:t xml:space="preserve">. Pursuant to the terms of the preferred shares as stated in the articles of incorporation, the right of the holders of the preferred shares to vote for the election of directors shall cease, subject to renewal in the event that dividends shall again be in arrears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[number of applicable years] years’ dividends.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