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Elect Officers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RESOLUTION OF THE BOARD OF DIRECTORS  OF [NAME OF CORPORATION]</w:t>
      </w:r>
    </w:p>
    <w:p>
      <w:pPr>
        <w:keepNext w:val="0"/>
        <w:spacing w:before="200" w:after="0" w:line="260" w:lineRule="exact"/>
        <w:ind w:left="360" w:right="0" w:firstLine="0"/>
        <w:jc w:val="both"/>
      </w:pPr>
      <w:r>
        <w:rPr>
          <w:rFonts w:ascii="Times New Roman" w:hAnsi="Times New Roman" w:eastAsia="Times New Roman" w:cs="Times New Roman"/>
          <w:b/>
          <w:sz w:val="24"/>
        </w:rPr>
        <w:t>ADOPTED AT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describe the purpose];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Texas Business Organizations Code;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annual term of officers is due to expire and the Corporation desires to elect or re-elect officers for the coming year, be it</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following persons are elected as officers of the Corporation to the offices set forth opposite their respective names to serve for the ensuing corporate year or until their successors are duly elected and qualified or until such officer sooner dies, resigns, is removed, or becomes disqualified: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President]</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Secretary]</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