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Electing to Wind Up and Dissolve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[name of benefit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benefit corporation (the “Corporation”) was formed on [date], by the filing of its Articles of Incorporation on said date in the office of the California Secretary of State;</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Corporation has not issued any shares of its capital stock;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board of directors of the Corporation have deemed advisable that the Corporation voluntarily wind up and dissolve.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the Corporation be voluntarily wound up and dissolved pursuant to the Plan of Complete Liquidation,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“Plan”); </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on distribution of the assets of the Corporation pursuant to the Plan or as otherwise required by law, the officers of the Corporation, each with full authority to act without others, are authorized and directed to verify, execute, provide and file all necessary notices, forms, certificates and other documents necessary for dissolution of the Corporation, including, without limitation, certificates of election and dissolution with the California Secretary of State and tax returns with the California Franchise Tax Board and Internal Revenue Service;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Complete Liquidation.</w:t>
      </w:r>
    </w:p>
    <w:p>
      <w:pPr>
        <w:keepNext w:val="0"/>
        <w:spacing w:before="200" w:after="0" w:line="260" w:lineRule="exact"/>
        <w:ind w:left="720" w:right="0" w:firstLine="0"/>
        <w:jc w:val="both"/>
      </w:pPr>
      <w:r>
        <w:rPr>
          <w:rFonts w:ascii="Times New Roman" w:hAnsi="Times New Roman" w:eastAsia="Times New Roman" w:cs="Times New Roman"/>
          <w:b w:val="0"/>
          <w:sz w:val="24"/>
        </w:rPr>
        <w:t>(Attached)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