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 Final Say on Pay Frequency</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Board of Directors of this Corporation was duly held for the Directors to consider the matters in the Resolutions below;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voted and affirmatively agreed that it is in the best interests of this Corporation and its shareholders to pass the Resolutions below;</w:t>
      </w:r>
    </w:p>
    <w:p>
      <w:pPr>
        <w:keepNext w:val="0"/>
        <w:spacing w:before="200" w:after="0" w:line="260" w:lineRule="exact"/>
        <w:ind w:left="360" w:right="0" w:firstLine="0"/>
        <w:jc w:val="both"/>
      </w:pPr>
      <w:r>
        <w:rPr>
          <w:rFonts w:ascii="Times New Roman" w:hAnsi="Times New Roman" w:eastAsia="Times New Roman" w:cs="Times New Roman"/>
          <w:b w:val="0"/>
          <w:sz w:val="24"/>
        </w:rPr>
        <w:t>Whereas, in accordance with this Corporation’s [By-laws] [Certificate of Incorporation] [and the laws of [STATE],] the shareholders of the common stock of this Corporation have voted, at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[annual/special]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shareholders on [DATE], to approve the matters in the Resolutions below;</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that the Board of Directors of this Corporation hereby affirms and ratifies the vote of the shareholders of the common stock of this Corporation establishing that, beginning with the annual meeting of the shareholders in [YEAR], the shareholders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vote,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advisory basis, every [year / two (2) years / three (3) years] with respect to the compensation of the “Named Executive Officers” of this Corporation listed in each relevant Proxy Statement’s Summary Compensation Table.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Further that at least every six (6) years this Corporation shall include in the relevant Proxy Statement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for the shareholders of the common stock of this Corporation to vote on the frequency of their future ability to vote on the compensation of the “Named Executive Officers” at such time.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