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Board Resolution: Granting Execution Authority to Officers of</w:t>
      </w:r>
    </w:p>
    <w:p>
      <w:pPr>
        <w:keepNext w:val="0"/>
        <w:spacing w:before="200" w:after="0" w:line="260" w:lineRule="exact"/>
        <w:ind w:left="360" w:right="0" w:firstLine="0"/>
        <w:jc w:val="center"/>
      </w:pPr>
      <w:r>
        <w:rPr>
          <w:rFonts w:ascii="Times New Roman" w:hAnsi="Times New Roman" w:eastAsia="Times New Roman" w:cs="Times New Roman"/>
          <w:b w:val="0"/>
          <w:sz w:val="24"/>
        </w:rPr>
        <w:t>[NAME OF COMPANY]</w:t>
      </w:r>
    </w:p>
    <w:p>
      <w:pPr>
        <w:keepNext w:val="0"/>
        <w:spacing w:before="120" w:after="0" w:line="260" w:lineRule="exact"/>
        <w:ind w:left="720" w:right="0" w:firstLine="0"/>
        <w:jc w:val="left"/>
      </w:pPr>
      <w:r>
        <w:rPr>
          <w:rFonts w:ascii="Times New Roman" w:hAnsi="Times New Roman" w:eastAsia="Times New Roman" w:cs="Times New Roman"/>
          <w:b/>
          <w:sz w:val="24"/>
        </w:rPr>
        <w:t>ADOPTED AT MEETING</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officers and certain individuals;</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New York Business Corporation Law;</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Board of Directors;</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individuals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the following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Treasurer of the Corporation are authorized and directed to certify as to the incumbency of the persons holding the offices named above and attach the corporate seal thereto and attest to the same with his or her signature; and</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