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Board Resolution: Identity Theft Program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WHEREAS: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Identity theft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serious concern for businesses, consumers, and law enforcement in the United States.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response to the risks posed by identity theft to consumers and the financial soundness of businesses, Congress enacted the </w:t>
      </w:r>
      <w:r>
        <w:rPr>
          <w:rFonts w:ascii="Times New Roman" w:hAnsi="Times New Roman" w:eastAsia="Times New Roman" w:cs="Times New Roman"/>
          <w:b w:val="0"/>
          <w:sz w:val="24"/>
        </w:rPr>
        <w:t>Fair and Accurate Credit Transactions Act of 2003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(FACT Act).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Federal Trade Commission (FTC) adopted regulations implementing the FACT Act referred to as the FTC’s Red Flags Rule. This Rule requires certain creditors to adopt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Identity Theft Prevention Program (Program).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Company offers consumers deferred payment plans and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creditor subject to the FTC’s Red Flags Rule.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Following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comprehensive identity theft risk assessment,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initial written Program was developed. The Program identifies irregularities in information and documents submitted as red flags; includes procedures for the detection of red flags; and specifies actions to be taken for investigating and responding to potential identity theft incidents.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As required by the FTC’s Red Flags Rule, the Company’s initial Program has been submitted to its Board of Directors for approval.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BE IT RESOLVED THAT: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Board of Directors approves the Identity Theft Prevention Program submitted by senior management and attached as Appendix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to this Resolution.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Board of Directors appoints the Company’s [title and name] with responsibility for the oversight of the implementation, administration, and periodic update of the Program to reflect changes in risk to customers and the Company.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