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Plan of Distribution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“Corporation”), representing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voting power of the Corporation have by [written consent/vote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elected to wind up and dissolve the Corporation;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Board of Directors has determined that is in the best interest of the Corporation and its shareholders to adopt the Plan of Complete Liquidation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“Plan”);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Plan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hereby adopted and approved;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be and hereby are, and each of them individually hereby is, authorized and directed take such actions as are reasonably necessary or advisable to obtain the requisite corporate approval for the Plan, including by submitting the Plan and any related documents to the Corporation’s shareholders and soliciting the shareholders' approval and adoption thereof;</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Board of Directors recommends that the shareholders of the Corporation approve and adopt the Plan and the transactions contemplated thereby;</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upon approval of the shareholders of the Plan, each of the officers of the Corporation is authorized and directed to sell any or all of the assets of the Corporation on the terms and conditions and for such consideration that they deem reasonable and expedient, and to execute all deeds and other documents necessary to transfer title to such assets,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each of the officers of the Corporation is authorized and directed to pay or to make adequate provision for all of the known debts and liabilities of the Corporation,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after the known debts and liabilities of the Corporation have been paid or adequately provided for, the officers are authorized and directed to distribute the remaining assets to the shareholders, on receipt from such shareholders of the certificates evidencing their shares, as set forth in the Plan, at all times as set forth in and consistent with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on distribution of the assets of the Corporation pursuant to the Plan or as otherwise required by law, the officers of the Corporation, each with full authority to act without others, are authorized and directed to verify, execute, provide and file all necessary notices, forms, certificates and other documents necessary for dissolution of the Corporation, including, without limitation, certificates of election and dissolution with the California Secretary of State and tax returns with the California Franchise Tax Board and Internal Revenue Service;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Plan of Complete Liquidation</w:t>
      </w:r>
    </w:p>
    <w:p>
      <w:pPr>
        <w:keepNext w:val="0"/>
        <w:spacing w:before="200" w:after="0" w:line="260" w:lineRule="exact"/>
        <w:ind w:left="360" w:right="0" w:firstLine="0"/>
        <w:jc w:val="both"/>
      </w:pPr>
      <w:r>
        <w:rPr>
          <w:rFonts w:ascii="Times New Roman" w:hAnsi="Times New Roman" w:eastAsia="Times New Roman" w:cs="Times New Roman"/>
          <w:b w:val="0"/>
          <w:sz w:val="24"/>
        </w:rPr>
        <w:t>(Attached)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