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BOARD RESOLUTIONS: ACQUISITION OF AN ACQUIRER’S EQUITY SECURITIES BY SECTION 16 INSIDERS IN A MERGER APPROVAL</w:t>
      </w:r>
    </w:p>
    <w:p>
      <w:pPr/>
      <w:r>
        <w:rPr>
          <w:rFonts w:ascii="Times New Roman" w:hAnsi="Times New Roman" w:eastAsia="Times New Roman" w:cs="Times New Roman"/>
          <w:b/>
          <w:sz w:val="24"/>
        </w:rPr>
        <w:t>WHEREAS</w:t>
      </w:r>
      <w:r>
        <w:rPr>
          <w:rFonts w:ascii="Times New Roman" w:hAnsi="Times New Roman" w:eastAsia="Times New Roman" w:cs="Times New Roman"/>
          <w:sz w:val="24"/>
        </w:rPr>
        <w:t>, [NAME OF COMPANY] (the “</w:t>
      </w:r>
      <w:r>
        <w:rPr>
          <w:rFonts w:ascii="Times New Roman" w:hAnsi="Times New Roman" w:eastAsia="Times New Roman" w:cs="Times New Roman"/>
          <w:sz w:val="24"/>
        </w:rPr>
        <w:t>Company</w:t>
      </w:r>
      <w:r>
        <w:rPr>
          <w:rFonts w:ascii="Times New Roman" w:hAnsi="Times New Roman" w:eastAsia="Times New Roman" w:cs="Times New Roman"/>
          <w:sz w:val="24"/>
        </w:rPr>
        <w:t>”) has entered into an agreement of merger, dated as of [DATE], with [NAME OF TARGET] (the “</w:t>
      </w:r>
      <w:r>
        <w:rPr>
          <w:rFonts w:ascii="Times New Roman" w:hAnsi="Times New Roman" w:eastAsia="Times New Roman" w:cs="Times New Roman"/>
          <w:sz w:val="24"/>
        </w:rPr>
        <w:t>Target</w:t>
      </w:r>
      <w:r>
        <w:rPr>
          <w:rFonts w:ascii="Times New Roman" w:hAnsi="Times New Roman" w:eastAsia="Times New Roman" w:cs="Times New Roman"/>
          <w:sz w:val="24"/>
        </w:rPr>
        <w:t>”) [and [OTHER PARTIES TO THE MERGER AGREEMENT]] pursuant to which the Target will merge with and into the Company (the “</w:t>
      </w:r>
      <w:r>
        <w:rPr>
          <w:rFonts w:ascii="Times New Roman" w:hAnsi="Times New Roman" w:eastAsia="Times New Roman" w:cs="Times New Roman"/>
          <w:sz w:val="24"/>
        </w:rPr>
        <w:t>Merger</w:t>
      </w:r>
      <w:r>
        <w:rPr>
          <w:rFonts w:ascii="Times New Roman" w:hAnsi="Times New Roman" w:eastAsia="Times New Roman" w:cs="Times New Roman"/>
          <w:sz w:val="24"/>
        </w:rPr>
        <w:t>”) effective as of [DATE] (the “</w:t>
      </w:r>
      <w:r>
        <w:rPr>
          <w:rFonts w:ascii="Times New Roman" w:hAnsi="Times New Roman" w:eastAsia="Times New Roman" w:cs="Times New Roman"/>
          <w:sz w:val="24"/>
        </w:rPr>
        <w:t>Effective Time</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at the Effective Time, [each share of common stock of the Target[,/ and] [any [Target stock options] [other equity awards] and other derivative or equity securities convertible into or exchangeable for shares of common stock of the Target (the “</w:t>
      </w:r>
      <w:r>
        <w:rPr>
          <w:rFonts w:ascii="Times New Roman" w:hAnsi="Times New Roman" w:eastAsia="Times New Roman" w:cs="Times New Roman"/>
          <w:sz w:val="24"/>
        </w:rPr>
        <w:t>Target Equity Securities</w:t>
      </w:r>
      <w:r>
        <w:rPr>
          <w:rFonts w:ascii="Times New Roman" w:hAnsi="Times New Roman" w:eastAsia="Times New Roman" w:cs="Times New Roman"/>
          <w:sz w:val="24"/>
        </w:rPr>
        <w:t>”)], that are issued and outstanding immediately prior to the Effective Time shall be converted into [shares of common stock of the Company[,/ and] [any [Company stock options] [other equity awards] and other derivative or equity securities convertible into or exchangeable for shares of common stock of the Company] (the “</w:t>
      </w:r>
      <w:r>
        <w:rPr>
          <w:rFonts w:ascii="Times New Roman" w:hAnsi="Times New Roman" w:eastAsia="Times New Roman" w:cs="Times New Roman"/>
          <w:sz w:val="24"/>
        </w:rPr>
        <w:t>Company Equity Securities</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each of the persons whose name is set forth on </w:t>
      </w:r>
      <w:r>
        <w:rPr>
          <w:rFonts w:ascii="Times New Roman" w:hAnsi="Times New Roman" w:eastAsia="Times New Roman" w:cs="Times New Roman"/>
          <w:sz w:val="24"/>
        </w:rPr>
        <w:t>Exhibit A</w:t>
      </w:r>
      <w:r>
        <w:rPr>
          <w:rFonts w:ascii="Times New Roman" w:hAnsi="Times New Roman" w:eastAsia="Times New Roman" w:cs="Times New Roman"/>
          <w:sz w:val="24"/>
        </w:rPr>
        <w:t xml:space="preserve"> hereto (each, a “</w:t>
      </w:r>
      <w:r>
        <w:rPr>
          <w:rFonts w:ascii="Times New Roman" w:hAnsi="Times New Roman" w:eastAsia="Times New Roman" w:cs="Times New Roman"/>
          <w:sz w:val="24"/>
        </w:rPr>
        <w:t>Section 16 Insider</w:t>
      </w:r>
      <w:r>
        <w:rPr>
          <w:rFonts w:ascii="Times New Roman" w:hAnsi="Times New Roman" w:eastAsia="Times New Roman" w:cs="Times New Roman"/>
          <w:sz w:val="24"/>
        </w:rPr>
        <w:t>”) is currently or will become a director or officer of the Company and subject to Section 16 of the Securities Exchange Act of 1934, as amended (the “</w:t>
      </w:r>
      <w:r>
        <w:rPr>
          <w:rFonts w:ascii="Times New Roman" w:hAnsi="Times New Roman" w:eastAsia="Times New Roman" w:cs="Times New Roman"/>
          <w:sz w:val="24"/>
        </w:rPr>
        <w:t>Exchange Act</w:t>
      </w:r>
      <w:r>
        <w:rPr>
          <w:rFonts w:ascii="Times New Roman" w:hAnsi="Times New Roman" w:eastAsia="Times New Roman" w:cs="Times New Roman"/>
          <w:sz w:val="24"/>
        </w:rPr>
        <w:t>”) for purposes of transactions in the Company Equity Securities;</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Compensation Committee (the “</w:t>
      </w:r>
      <w:r>
        <w:rPr>
          <w:rFonts w:ascii="Times New Roman" w:hAnsi="Times New Roman" w:eastAsia="Times New Roman" w:cs="Times New Roman"/>
          <w:sz w:val="24"/>
        </w:rPr>
        <w:t>Committee</w:t>
      </w:r>
      <w:r>
        <w:rPr>
          <w:rFonts w:ascii="Times New Roman" w:hAnsi="Times New Roman" w:eastAsia="Times New Roman" w:cs="Times New Roman"/>
          <w:sz w:val="24"/>
        </w:rPr>
        <w:t>”) of] the Board of Directors of the Company (the “</w:t>
      </w:r>
      <w:r>
        <w:rPr>
          <w:rFonts w:ascii="Times New Roman" w:hAnsi="Times New Roman" w:eastAsia="Times New Roman" w:cs="Times New Roman"/>
          <w:sz w:val="24"/>
        </w:rPr>
        <w:t>Board</w:t>
      </w:r>
      <w:r>
        <w:rPr>
          <w:rFonts w:ascii="Times New Roman" w:hAnsi="Times New Roman" w:eastAsia="Times New Roman" w:cs="Times New Roman"/>
          <w:sz w:val="24"/>
        </w:rPr>
        <w:t>”)/the Committee]/[the Board of Directors] has determined that it is advisable and in the best interests of the Company to approve the acquisition of Company Equity Securities by each Section 16 Person pursuant to the Merger Agreement or in connection with the Merger for the purpose of satisfying the requirements for exemption from Section 16(b) of the Exchange Act as set forth in Rule 16b-3.</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each acquisition of Company Equity Securities by each Section 16 Person in respect of any Target Equity Securities beneficially owned by such Section 16 Person, as provided in Exhibit [A] pursuant to the Merger Agreement or in connection with the Merger is approved for purposes of Rule 16b-3(d);</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officers of the Company be, and each of them acting singly hereby is, authorized, directed and empowered to take all such further actions, to execute, deliver and file all such further instruments and documents, and to do all such further things, in the name and on behalf of the Company and under its corporate seal or otherwise, and to pay all such fees, expenses and taxes, as in any such officer’s judgment may be necessary or advisable in order to carry out fully the intent and accomplish the purposes of the foregoing resolutions; and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