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Resolutions: Acquisition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Acquirer’s Equity Securities by Section 16 Insiders 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Merger Approval</w:t>
      </w:r>
    </w:p>
    <w:p>
      <w:pPr>
        <w:keepNext w:val="0"/>
        <w:spacing w:after="0" w:line="240" w:lineRule="exact"/>
        <w:ind w:right="0"/>
        <w:jc w:val="both"/>
      </w:pP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[NAME OF COMPANY]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has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of merger, dated as of [DATE], with [NAME OF TARGET] (the “</w:t>
      </w:r>
      <w:r>
        <w:rPr>
          <w:rFonts w:ascii="Times New Roman" w:hAnsi="Times New Roman" w:eastAsia="Times New Roman" w:cs="Times New Roman"/>
          <w:b w:val="0"/>
          <w:sz w:val="24"/>
        </w:rPr>
        <w:t>Target</w:t>
      </w:r>
      <w:r>
        <w:rPr>
          <w:rFonts w:ascii="Times New Roman" w:hAnsi="Times New Roman" w:eastAsia="Times New Roman" w:cs="Times New Roman"/>
          <w:b w:val="0"/>
          <w:sz w:val="24"/>
        </w:rPr>
        <w:t>”) [and [OTHER PARTIES TO THE MERGER AGREEMENT]] pursuant to which the Target will merge with and into the Company (the “</w:t>
      </w:r>
      <w:r>
        <w:rPr>
          <w:rFonts w:ascii="Times New Roman" w:hAnsi="Times New Roman" w:eastAsia="Times New Roman" w:cs="Times New Roman"/>
          <w:b w:val="0"/>
          <w:sz w:val="24"/>
        </w:rPr>
        <w:t>Merger</w:t>
      </w:r>
      <w:r>
        <w:rPr>
          <w:rFonts w:ascii="Times New Roman" w:hAnsi="Times New Roman" w:eastAsia="Times New Roman" w:cs="Times New Roman"/>
          <w:b w:val="0"/>
          <w:sz w:val="24"/>
        </w:rPr>
        <w:t>”) effective as of [DATE] (the “</w:t>
      </w:r>
      <w:r>
        <w:rPr>
          <w:rFonts w:ascii="Times New Roman" w:hAnsi="Times New Roman" w:eastAsia="Times New Roman" w:cs="Times New Roman"/>
          <w:b w:val="0"/>
          <w:sz w:val="24"/>
        </w:rPr>
        <w:t>Effective Time</w:t>
      </w:r>
      <w:r>
        <w:rPr>
          <w:rFonts w:ascii="Times New Roman" w:hAnsi="Times New Roman" w:eastAsia="Times New Roman" w:cs="Times New Roman"/>
          <w:b w:val="0"/>
          <w:sz w:val="24"/>
        </w:rPr>
        <w:t>”);</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at the Effective Time, [each share of common stock of the Target[,/ and] [any [Target stock options] [other equity awards] and other derivative or equity securities convertible into or exchangeable for shares of common stock of the Target (the “</w:t>
      </w:r>
      <w:r>
        <w:rPr>
          <w:rFonts w:ascii="Times New Roman" w:hAnsi="Times New Roman" w:eastAsia="Times New Roman" w:cs="Times New Roman"/>
          <w:b w:val="0"/>
          <w:sz w:val="24"/>
        </w:rPr>
        <w:t>Target Equity Securities</w:t>
      </w:r>
      <w:r>
        <w:rPr>
          <w:rFonts w:ascii="Times New Roman" w:hAnsi="Times New Roman" w:eastAsia="Times New Roman" w:cs="Times New Roman"/>
          <w:b w:val="0"/>
          <w:sz w:val="24"/>
        </w:rPr>
        <w:t>”)], that are issued and outstanding immediately prior to the Effective Time shall be converted into [shares of common stock of the Company[,/ and] [any [Company stock options] [other equity awards] and other derivative or equity securities convertible into or exchangeable for shares of common stock of the Company] (the “</w:t>
      </w:r>
      <w:r>
        <w:rPr>
          <w:rFonts w:ascii="Times New Roman" w:hAnsi="Times New Roman" w:eastAsia="Times New Roman" w:cs="Times New Roman"/>
          <w:b w:val="0"/>
          <w:sz w:val="24"/>
        </w:rPr>
        <w:t>Company Equity Securities</w:t>
      </w:r>
      <w:r>
        <w:rPr>
          <w:rFonts w:ascii="Times New Roman" w:hAnsi="Times New Roman" w:eastAsia="Times New Roman" w:cs="Times New Roman"/>
          <w:b w:val="0"/>
          <w:sz w:val="24"/>
        </w:rPr>
        <w:t>”)];</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of the persons whose name is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16 Insider</w:t>
      </w:r>
      <w:r>
        <w:rPr>
          <w:rFonts w:ascii="Times New Roman" w:hAnsi="Times New Roman" w:eastAsia="Times New Roman" w:cs="Times New Roman"/>
          <w:b w:val="0"/>
          <w:sz w:val="24"/>
        </w:rPr>
        <w:t xml:space="preserve">”) is currently or will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Company and subject to Section 16 of the Securities Exchange Act of 1934, as amended (the “</w:t>
      </w:r>
      <w:r>
        <w:rPr>
          <w:rFonts w:ascii="Times New Roman" w:hAnsi="Times New Roman" w:eastAsia="Times New Roman" w:cs="Times New Roman"/>
          <w:b w:val="0"/>
          <w:sz w:val="24"/>
        </w:rPr>
        <w:t>Exchange Act</w:t>
      </w:r>
      <w:r>
        <w:rPr>
          <w:rFonts w:ascii="Times New Roman" w:hAnsi="Times New Roman" w:eastAsia="Times New Roman" w:cs="Times New Roman"/>
          <w:b w:val="0"/>
          <w:sz w:val="24"/>
        </w:rPr>
        <w:t>”) for purposes of transactions in the Company Equity Securities;</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Compensation Committee (the “</w:t>
      </w:r>
      <w:r>
        <w:rPr>
          <w:rFonts w:ascii="Times New Roman" w:hAnsi="Times New Roman" w:eastAsia="Times New Roman" w:cs="Times New Roman"/>
          <w:b w:val="0"/>
          <w:sz w:val="24"/>
        </w:rPr>
        <w:t>Committee</w:t>
      </w:r>
      <w:r>
        <w:rPr>
          <w:rFonts w:ascii="Times New Roman" w:hAnsi="Times New Roman" w:eastAsia="Times New Roman" w:cs="Times New Roman"/>
          <w:b w:val="0"/>
          <w:sz w:val="24"/>
        </w:rPr>
        <w:t>”) of] the Board of Directors of the Company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”)/the Committee]/[the Board of Directors] has determined that it is advisable and in the best interests of the Company to approve the acquisition of Company Equity Securities by each Section 16 Person pursuant to the Merger Agreement or in connection with the Merger for the purpose of satisfying the requirements for exemption from Section 16(b) of the Exchange Act as set forth in Rule 16b-3.</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acquisition of Company Equity Securities by each Section 16 Person in respect of any Target Equity Securities beneficially owned by such Section 16 Person, as provided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the Merger Agreement or in connection with the Merger is approved for purposes of Rule 16b-3(d);</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of the Company be, and each of them acting singly hereby is, authorized, directed and empowered to take all such further actions, to execute, deliver and file all such further instruments and documents, and to do all such further things, in the name and on behalf of the Company and under its corporate seal or otherwise, and to pay all such fees, expenses and taxes, as in any such officer’s judgment may be necessary or advisable in order to carry out fully the intent and accomplish the purposes of the foregoing resolutions; and be it further</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act, action, agreement, document or instrument done, performed, made, executed or delivered by, in the name or on behalf of the Company prior to the date hereof in connection with the matters contemplated by the foregoing resolutions be, and each of the same hereby is, ratified, confirmed, authorized and approved.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