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Board Advisors Appointment Authorization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(the “Board”) of [NAME OF COMPANY] (the “Company”) deems it to be advisable and in the best interests of the Company to engage one or more Board Advisors (the “Board Advisors”) from time to time to provide advice to the Board on such matters and pursuant to such terms as determined by the Board; [and]</w:t>
      </w:r>
    </w:p>
    <w:p>
      <w:pPr>
        <w:keepNext w:val="0"/>
        <w:spacing w:before="120" w:after="0" w:line="260" w:lineRule="exact"/>
        <w:ind w:left="360" w:right="0" w:firstLine="0"/>
        <w:jc w:val="left"/>
      </w:pPr>
      <w:r>
        <w:rPr>
          <w:rFonts w:ascii="Times New Roman" w:hAnsi="Times New Roman" w:eastAsia="Times New Roman" w:cs="Times New Roman"/>
          <w:b/>
          <w:sz w:val="24"/>
        </w:rPr>
        <w:t>NOW THEREFORE LET IT BE</w:t>
      </w:r>
    </w:p>
    <w:p>
      <w:pPr>
        <w:keepNext w:val="0"/>
        <w:spacing w:before="120" w:after="0" w:line="260" w:lineRule="exact"/>
        <w:ind w:left="720" w:right="0" w:firstLine="0"/>
        <w:jc w:val="left"/>
      </w:pPr>
      <w:r>
        <w:rPr>
          <w:rFonts w:ascii="Times New Roman" w:hAnsi="Times New Roman" w:eastAsia="Times New Roman" w:cs="Times New Roman"/>
          <w:b/>
          <w:sz w:val="24"/>
        </w:rPr>
        <w:t>Approval of Engagement of Board Advisors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engagement of the Board Advisors from time to time be, and the same hereby is, authorized, adopted and approved in all respects. [Each Advisor shall serve indefinitely until death, resignation, retirement or removal, with or without cause, as determined by the Board.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 may be removed by decision of [the Chairman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by the majority of the Board];</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Board Advisors may attend Board meetings at the discretion of the Board, but that Board Advisors shall not have any right to receive notice of any Board meetings, shall not be counted for purposes of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or any committee thereof, and shall not be entitled to vote on any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Board;</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no Board Advisor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Company, nor have any duties or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to the Company or its stockholders;</w:t>
      </w:r>
    </w:p>
    <w:p>
      <w:pPr>
        <w:keepNext w:val="0"/>
        <w:spacing w:before="120" w:after="0" w:line="260" w:lineRule="exact"/>
        <w:ind w:left="720" w:right="0" w:firstLine="0"/>
        <w:jc w:val="left"/>
      </w:pPr>
      <w:r>
        <w:rPr>
          <w:rFonts w:ascii="Times New Roman" w:hAnsi="Times New Roman" w:eastAsia="Times New Roman" w:cs="Times New Roman"/>
          <w:b/>
          <w:sz w:val="24"/>
        </w:rPr>
        <w:t>General Authorization</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and directed to take all such further actions, to execute, deliver and file all such further instruments and documents, and to do all such further things, in the name and on behalf of the Company and under its corporate seal or otherwise, and to pay all such fees, expenses and taxes, as in any Authorized Officer’s judgment may be necessary or advisable in order to carry out fully the intent and accomplish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