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Resolutions: Designation of Section 16 Officers</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Section 16a of the Securities Exchange Act of 1934, as amended (the “</w:t>
      </w:r>
      <w:r>
        <w:rPr>
          <w:rFonts w:ascii="Times New Roman" w:hAnsi="Times New Roman" w:eastAsia="Times New Roman" w:cs="Times New Roman"/>
          <w:b/>
          <w:sz w:val="24"/>
        </w:rPr>
        <w:t>Exchange Act</w:t>
      </w:r>
      <w:r>
        <w:rPr>
          <w:rFonts w:ascii="Times New Roman" w:hAnsi="Times New Roman" w:eastAsia="Times New Roman" w:cs="Times New Roman"/>
          <w:b w:val="0"/>
          <w:sz w:val="24"/>
        </w:rPr>
        <w:t>”) and Rule 16a-3 thereunder require certain officers of the Company (“</w:t>
      </w:r>
      <w:r>
        <w:rPr>
          <w:rFonts w:ascii="Times New Roman" w:hAnsi="Times New Roman" w:eastAsia="Times New Roman" w:cs="Times New Roman"/>
          <w:b/>
          <w:sz w:val="24"/>
        </w:rPr>
        <w:t>Section 16 Officers</w:t>
      </w:r>
      <w:r>
        <w:rPr>
          <w:rFonts w:ascii="Times New Roman" w:hAnsi="Times New Roman" w:eastAsia="Times New Roman" w:cs="Times New Roman"/>
          <w:b w:val="0"/>
          <w:sz w:val="24"/>
        </w:rPr>
        <w:t>”) to file reports with the Company and the U.S. Securities and Exchange Commission (the “</w:t>
      </w:r>
      <w:r>
        <w:rPr>
          <w:rFonts w:ascii="Times New Roman" w:hAnsi="Times New Roman" w:eastAsia="Times New Roman" w:cs="Times New Roman"/>
          <w:b/>
          <w:sz w:val="24"/>
        </w:rPr>
        <w:t>SEC</w:t>
      </w:r>
      <w:r>
        <w:rPr>
          <w:rFonts w:ascii="Times New Roman" w:hAnsi="Times New Roman" w:eastAsia="Times New Roman" w:cs="Times New Roman"/>
          <w:b w:val="0"/>
          <w:sz w:val="24"/>
        </w:rPr>
        <w:t>”) and Item 405 of Regulation S-K requires the Company to disclose whether reports to the SEC by Section 16 Officers were timely filed;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Company wishes to comply with, and assist its officers in complying with the requirements of Section 16 of the Exchange Act and its associated reporting and compliance obligations;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in accordance with Rule 16a-1(f), individuals identified as “executive officers” in the Company’s annual report on Form 10-K or annual proxy statement, shall be presumed to be Section 16 Officers;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of directors of the Company (the “</w:t>
      </w:r>
      <w:r>
        <w:rPr>
          <w:rFonts w:ascii="Times New Roman" w:hAnsi="Times New Roman" w:eastAsia="Times New Roman" w:cs="Times New Roman"/>
          <w:b/>
          <w:sz w:val="24"/>
        </w:rPr>
        <w:t>Board</w:t>
      </w:r>
      <w:r>
        <w:rPr>
          <w:rFonts w:ascii="Times New Roman" w:hAnsi="Times New Roman" w:eastAsia="Times New Roman" w:cs="Times New Roman"/>
          <w:b w:val="0"/>
          <w:sz w:val="24"/>
        </w:rPr>
        <w:t>”) has reviewed the responsibilities of each of the Company’s current officers, including the policy-making and executive duties of such officers and wishes to designate executive officers for disclosure in the Company’s [YEAR] annual report on Form 10-K and in the Company’s annual proxy statement, in accordance with Item 401(b) of Regulation S-K and Rule 3b-7 of the Exchange Act and to identify Section 16 Officers of the Company;</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Board has determined that the following officers, and only the following officers, shall be considered Section 16 Officers for the purposes of the Exchange Act and “executive officers” as defined by Rule 3b-7 of the Exchange Act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or until such time as the Board otherwise determines or such individuals cease to be employed by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[OFFICER NAME, Chief Executive Officer]</w:t>
      </w:r>
    </w:p>
    <w:p>
      <w:pPr>
        <w:keepNext w:val="0"/>
        <w:spacing w:before="60" w:after="0" w:line="260" w:lineRule="exact"/>
        <w:ind w:left="720" w:right="0" w:firstLine="0"/>
        <w:jc w:val="both"/>
      </w:pPr>
      <w:r>
        <w:rPr>
          <w:rFonts w:ascii="Times New Roman" w:hAnsi="Times New Roman" w:eastAsia="Times New Roman" w:cs="Times New Roman"/>
          <w:b w:val="0"/>
          <w:sz w:val="24"/>
        </w:rPr>
        <w:t>[OFFICER NAME, Chief Financial Officer]</w:t>
      </w:r>
    </w:p>
    <w:p>
      <w:pPr>
        <w:keepNext w:val="0"/>
        <w:spacing w:before="60" w:after="0" w:line="260" w:lineRule="exact"/>
        <w:ind w:left="720" w:right="0" w:firstLine="0"/>
        <w:jc w:val="both"/>
      </w:pPr>
      <w:r>
        <w:rPr>
          <w:rFonts w:ascii="Times New Roman" w:hAnsi="Times New Roman" w:eastAsia="Times New Roman" w:cs="Times New Roman"/>
          <w:b w:val="0"/>
          <w:sz w:val="24"/>
        </w:rPr>
        <w:t>[OFFICER NAMES, TITLES]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