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Board Resolutions: Election of Commercial End-User Exception to Mandatory Clearing of Swaps and Security-Based Swaps under Dodd-Frank Act</w:t>
      </w:r>
    </w:p>
    <w:p>
      <w:pPr/>
      <w:r>
        <w:rPr>
          <w:rFonts w:ascii="Times New Roman" w:hAnsi="Times New Roman" w:eastAsia="Times New Roman" w:cs="Times New Roman"/>
          <w:sz w:val="24"/>
        </w:rPr>
        <w:t>BE IT RESOLVED, the Board acknowledges that at its meeting on [__</w:t>
      </w:r>
      <w:r>
        <w:rPr>
          <w:rFonts w:ascii="Times New Roman" w:hAnsi="Times New Roman" w:eastAsia="Times New Roman" w:cs="Times New Roman"/>
          <w:sz w:val="24"/>
        </w:rPr>
        <w:t>___</w:t>
      </w:r>
      <w:r>
        <w:rPr>
          <w:rFonts w:ascii="Times New Roman" w:hAnsi="Times New Roman" w:eastAsia="Times New Roman" w:cs="Times New Roman"/>
          <w:sz w:val="24"/>
        </w:rPr>
        <w:t>], it adopted certain resolutions authorizing a derivatives policy (“Derivatives Policy”), which permits the Company to enter into certain swap transactions from time to time so long as such swap transactions are entered into in accordance with the Derivatives Policy; and</w:t>
      </w:r>
    </w:p>
    <w:p>
      <w:pPr/>
      <w:r>
        <w:rPr>
          <w:rFonts w:ascii="Times New Roman" w:hAnsi="Times New Roman" w:eastAsia="Times New Roman" w:cs="Times New Roman"/>
          <w:sz w:val="24"/>
        </w:rPr>
        <w:t>BE IT FURTHER RESOLVED, the Board acknowledges that at its meeting on [</w:t>
      </w:r>
      <w:r>
        <w:rPr>
          <w:rFonts w:ascii="Times New Roman" w:hAnsi="Times New Roman" w:eastAsia="Times New Roman" w:cs="Times New Roman"/>
          <w:sz w:val="24"/>
        </w:rPr>
        <w:t>_____</w:t>
      </w:r>
      <w:r>
        <w:rPr>
          <w:rFonts w:ascii="Times New Roman" w:hAnsi="Times New Roman" w:eastAsia="Times New Roman" w:cs="Times New Roman"/>
          <w:sz w:val="24"/>
        </w:rPr>
        <w:t>], the Board reviewed information relating to Title VII of the Dodd-Frank Wall Street Reform and Consumer Protection Act (the “Dodd-Frank Act”), which provides that (i) the U.S. Commodity Futures Trading Commission (the “CFTC”) may determine from time to time that certain swaps (as such terms are defined in the Commodity Exchange Act (“CEA”) and regulations promulgated thereunder) may be subject to mandatory clearing through a derivatives clearing organization (“DCO”) or a clearing agency (the “Clearing Requirement”) and (ii) swaps subject to mandatory clearing must be executed on a board of trade designated as a contract market (“DCM”) or swap execution facility (“SEF”) (the “Trade Execution Requirement”); and</w:t>
      </w:r>
    </w:p>
    <w:p>
      <w:pPr/>
      <w:r>
        <w:rPr>
          <w:rFonts w:ascii="Times New Roman" w:hAnsi="Times New Roman" w:eastAsia="Times New Roman" w:cs="Times New Roman"/>
          <w:sz w:val="24"/>
        </w:rPr>
        <w:t>BE IT FURTHER RESOLVED, the Board acknowledges that at its meeting on [</w:t>
      </w:r>
      <w:r>
        <w:rPr>
          <w:rFonts w:ascii="Times New Roman" w:hAnsi="Times New Roman" w:eastAsia="Times New Roman" w:cs="Times New Roman"/>
          <w:sz w:val="24"/>
        </w:rPr>
        <w:t>_____</w:t>
      </w:r>
      <w:r>
        <w:rPr>
          <w:rFonts w:ascii="Times New Roman" w:hAnsi="Times New Roman" w:eastAsia="Times New Roman" w:cs="Times New Roman"/>
          <w:sz w:val="24"/>
        </w:rPr>
        <w:t>], it reviewed information related to Section 2(h)(7) of the CEA (7 U.S.C. §2(h)(7)), which provides exceptions to the Clearing Requirement for certain non-financial entities using swaps solely to hedge or mitigate commercial risk (principally, the “Commercial End-User Exception”);</w:t>
      </w:r>
    </w:p>
    <w:p>
      <w:pPr/>
      <w:r>
        <w:rPr>
          <w:rFonts w:ascii="Times New Roman" w:hAnsi="Times New Roman" w:eastAsia="Times New Roman" w:cs="Times New Roman"/>
          <w:sz w:val="24"/>
        </w:rPr>
        <w:t>BE IT FURTHER RESOLVED, the Board acknowledges that at its meeting on [</w:t>
      </w:r>
      <w:r>
        <w:rPr>
          <w:rFonts w:ascii="Times New Roman" w:hAnsi="Times New Roman" w:eastAsia="Times New Roman" w:cs="Times New Roman"/>
          <w:sz w:val="24"/>
        </w:rPr>
        <w:t>_____</w:t>
      </w:r>
      <w:r>
        <w:rPr>
          <w:rFonts w:ascii="Times New Roman" w:hAnsi="Times New Roman" w:eastAsia="Times New Roman" w:cs="Times New Roman"/>
          <w:sz w:val="24"/>
        </w:rPr>
        <w:t>], it discussed the benefits and costs of entering into swaps that are not cleared through a DCO or clearing agency, and not executed on a DCM or SEF, including the Company’s risk management objectives and how the Company generally meets its financial obligations associated with non-cleared swaps;</w:t>
      </w:r>
    </w:p>
    <w:p>
      <w:pPr/>
      <w:r>
        <w:rPr>
          <w:rFonts w:ascii="Times New Roman" w:hAnsi="Times New Roman" w:eastAsia="Times New Roman" w:cs="Times New Roman"/>
          <w:sz w:val="24"/>
        </w:rPr>
        <w:t>BE IT FURTHER RESOLVED, the Board acknowledges that at its meeting on [</w:t>
      </w:r>
      <w:r>
        <w:rPr>
          <w:rFonts w:ascii="Times New Roman" w:hAnsi="Times New Roman" w:eastAsia="Times New Roman" w:cs="Times New Roman"/>
          <w:sz w:val="24"/>
        </w:rPr>
        <w:t>_____</w:t>
      </w:r>
      <w:r>
        <w:rPr>
          <w:rFonts w:ascii="Times New Roman" w:hAnsi="Times New Roman" w:eastAsia="Times New Roman" w:cs="Times New Roman"/>
          <w:sz w:val="24"/>
        </w:rPr>
        <w:t>], after its review, analysis and discussion, has deemed it advisable and in the best interests of the Company to elect the End-User Exception for certain swap transactions entered into in accordance with the Derivatives Policy.</w:t>
      </w:r>
    </w:p>
    <w:p>
      <w:pPr/>
      <w:r>
        <w:rPr>
          <w:rFonts w:ascii="Times New Roman" w:hAnsi="Times New Roman" w:eastAsia="Times New Roman" w:cs="Times New Roman"/>
          <w:sz w:val="24"/>
        </w:rPr>
        <w:t>NOW, THEREFORE, BE IT RESOLVED, that the officers of the Company be, and they hereby are, authorized to enter into swap transactions that are exempt from the requirements of Sections 2(h)(1) and 2(h)(8) of the CEA.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