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Board Resolutions: Election of Commercial End-User Exception to Mandatory Clearing of Swaps and Security-Based Swaps under Dodd-Frank Act</w:t>
      </w:r>
    </w:p>
    <w:p>
      <w:pPr>
        <w:keepNext w:val="0"/>
        <w:spacing w:after="0" w:line="240" w:lineRule="exact"/>
        <w:ind w:right="0"/>
        <w:jc w:val="both"/>
      </w:pP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 IT RESOLVED, the Board acknowledges that at its meeting on [__], it adopted certain resolutions authorizing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derivatives policy (“Derivatives Policy”), which permits the Company to enter into certain swap transactions from time to time so long as such swap transactions are entered into in accordance with the Derivatives Policy; and</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 IT FURTHER RESOLVED, the Board acknowledges that at its meeting on [__], the Board reviewed information relating to Title VII of the Dodd-Frank Wall Street Reform and Consumer Protection Act (the “Dodd-Frank Act”), which provides that (i) the U.S. Commodity Futures Trading Commission (the “CFTC”) may determine from time to time that certain swaps (as such terms are defined in the Commodity Exchange Act (“CEA”) and regulations promulgated thereunder) may be subject to mandatory clearing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derivatives clearing organization (“DCO”)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clearing agency (the “Clearing Requirement”) and (ii) swaps subject to mandatory clearing must be executed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board of trade designated 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contract market (“DCM”) or swap execution facility (“SEF”) (the “Trade Execution Requirement”); and</w:t>
      </w:r>
    </w:p>
    <w:p>
      <w:pPr>
        <w:keepNext w:val="0"/>
        <w:spacing w:before="200" w:after="0" w:line="260" w:lineRule="exact"/>
        <w:ind w:left="360" w:right="0" w:firstLine="0"/>
        <w:jc w:val="both"/>
      </w:pPr>
      <w:r>
        <w:rPr>
          <w:rFonts w:ascii="Times New Roman" w:hAnsi="Times New Roman" w:eastAsia="Times New Roman" w:cs="Times New Roman"/>
          <w:b w:val="0"/>
          <w:sz w:val="24"/>
        </w:rPr>
        <w:t>BE IT FURTHER RESOLVED, the Board acknowledges that at its meeting on [__], it reviewed information related to Section 2(h)(7) of the CEA (7 U.S.C. §2(h)(7)), which provides exceptions to the Clearing Requirement for certain non-financial entities using swaps solely to hedge or mitigate commercial risk (principally, the “Commercial End-User Exception”);</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BE IT FURTHER RESOLVED, the Board acknowledges that at its meeting on [__], it discussed the benefits and costs of entering into swaps that are not cleared through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DCO or clearing agency, and not executed 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DCM or SEF, including the Company’s risk management objectives and how the Company generally meets its financial obligations associated with non-cleared swaps;</w:t>
      </w:r>
    </w:p>
    <w:p>
      <w:pPr>
        <w:keepNext w:val="0"/>
        <w:spacing w:before="200" w:after="0" w:line="260" w:lineRule="exact"/>
        <w:ind w:left="360" w:right="0" w:firstLine="0"/>
        <w:jc w:val="both"/>
      </w:pPr>
      <w:r>
        <w:rPr>
          <w:rFonts w:ascii="Times New Roman" w:hAnsi="Times New Roman" w:eastAsia="Times New Roman" w:cs="Times New Roman"/>
          <w:b w:val="0"/>
          <w:sz w:val="24"/>
        </w:rPr>
        <w:t>BE IT FURTHER RESOLVED, the Board acknowledges that at its meeting on [__], after its review, analysis and discussion, has deemed it advisable and in the best interests of the Company to elect the End-User Exception for certain swap transactions entered into in accordance with the Derivatives Policy.</w:t>
      </w:r>
    </w:p>
    <w:p>
      <w:pPr>
        <w:keepNext w:val="0"/>
        <w:spacing w:before="200" w:after="0" w:line="260" w:lineRule="exact"/>
        <w:ind w:left="360" w:right="0" w:firstLine="0"/>
        <w:jc w:val="both"/>
      </w:pPr>
      <w:r>
        <w:rPr>
          <w:rFonts w:ascii="Times New Roman" w:hAnsi="Times New Roman" w:eastAsia="Times New Roman" w:cs="Times New Roman"/>
          <w:b w:val="0"/>
          <w:sz w:val="24"/>
        </w:rPr>
        <w:t>NOW, THEREFORE, BE IT RESOLVED, that the officers of the Company be, and they hereby are, authorized to enter into swap transactions that are exempt from the requirements of Sections 2(h)(1) and 2(h)(8) of the CEA.</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