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Issuance and Sale of Standalone Note</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BOARD RESOLUTIONS FOR [COMPANY NAME] (THE “COMPANY”)</w:t>
      </w:r>
    </w:p>
    <w:p>
      <w:pPr>
        <w:keepNext w:val="0"/>
        <w:spacing w:before="120" w:after="0" w:line="260" w:lineRule="exact"/>
        <w:ind w:left="720" w:right="0" w:firstLine="0"/>
        <w:jc w:val="left"/>
      </w:pPr>
      <w:r>
        <w:rPr>
          <w:rFonts w:ascii="Times New Roman" w:hAnsi="Times New Roman" w:eastAsia="Times New Roman" w:cs="Times New Roman"/>
          <w:b/>
          <w:sz w:val="24"/>
        </w:rPr>
        <w:t>Standalone Convertible Promissory Note</w:t>
      </w:r>
    </w:p>
    <w:p>
      <w:pPr>
        <w:keepNext w:val="0"/>
        <w:spacing w:before="120" w:after="0" w:line="260" w:lineRule="exact"/>
        <w:ind w:left="1080" w:right="0" w:firstLine="0"/>
        <w:jc w:val="left"/>
      </w:pPr>
      <w:r>
        <w:rPr>
          <w:rFonts w:ascii="Times New Roman" w:hAnsi="Times New Roman" w:eastAsia="Times New Roman" w:cs="Times New Roman"/>
          <w:b/>
          <w:sz w:val="24"/>
        </w:rPr>
        <w:t>Authorization of Convertible Promissory Note</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of Directors of the Company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deems it advisable and in the best interests of the Company and its stockholders to sell and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convertible promissory note, substantially in the form attached hereto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Convertible Note</w:t>
      </w:r>
      <w:r>
        <w:rPr>
          <w:rFonts w:ascii="Times New Roman" w:hAnsi="Times New Roman" w:eastAsia="Times New Roman" w:cs="Times New Roman"/>
          <w:b w:val="0"/>
          <w:sz w:val="24"/>
        </w:rPr>
        <w:t>”), to the investor specified on the Convertible Note (the “</w:t>
      </w:r>
      <w:r>
        <w:rPr>
          <w:rFonts w:ascii="Times New Roman" w:hAnsi="Times New Roman" w:eastAsia="Times New Roman" w:cs="Times New Roman"/>
          <w:b/>
          <w:sz w:val="24"/>
        </w:rPr>
        <w:t>Investor</w:t>
      </w:r>
      <w:r>
        <w:rPr>
          <w:rFonts w:ascii="Times New Roman" w:hAnsi="Times New Roman" w:eastAsia="Times New Roman" w:cs="Times New Roman"/>
          <w:b w:val="0"/>
          <w:sz w:val="24"/>
        </w:rPr>
        <w:t>”), in the principal amount of $[AMOUNT OF FINANCING] (the “</w:t>
      </w:r>
      <w:r>
        <w:rPr>
          <w:rFonts w:ascii="Times New Roman" w:hAnsi="Times New Roman" w:eastAsia="Times New Roman" w:cs="Times New Roman"/>
          <w:b/>
          <w:sz w:val="24"/>
        </w:rPr>
        <w:t>Financing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NOW, THEREFORE, BE IT RESOLVED</w:t>
      </w:r>
      <w:r>
        <w:rPr>
          <w:rFonts w:ascii="Times New Roman" w:hAnsi="Times New Roman" w:eastAsia="Times New Roman" w:cs="Times New Roman"/>
          <w:b w:val="0"/>
          <w:sz w:val="24"/>
        </w:rPr>
        <w:t>: That after careful consideration and due inquiry concerning the Company’s financing objectives and financial situation, the Board hereby determines that the terms and conditions of the Convertible Note are appropriate for the Company and its stockholders and, in the exercise of its fiduciary duty, hereby approves the Financing.</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Convertible Note is hereby approved.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shares of Preferred Stock of the Company issuable upon conversion of the Convertible Note (the “</w:t>
      </w:r>
      <w:r>
        <w:rPr>
          <w:rFonts w:ascii="Times New Roman" w:hAnsi="Times New Roman" w:eastAsia="Times New Roman" w:cs="Times New Roman"/>
          <w:b/>
          <w:sz w:val="24"/>
        </w:rPr>
        <w:t>Note Conversion Shares</w:t>
      </w:r>
      <w:r>
        <w:rPr>
          <w:rFonts w:ascii="Times New Roman" w:hAnsi="Times New Roman" w:eastAsia="Times New Roman" w:cs="Times New Roman"/>
          <w:b w:val="0"/>
          <w:sz w:val="24"/>
        </w:rPr>
        <w:t>”) shall be validly issued, fully paid and nonassessable when issued in accordance with the terms of the Convertible Note.</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shares of the Company’s Common Stock issuable upon conversion of the Note Conversion Shares in accordance with the Company’s certificate of incorporation shall be validly issued, fully paid and nonassessable.</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Chief Executive Officer, the President, the Chief Financial Officer or any Vice President of the Company from time to time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Officer</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hereby is, individually authorized, directed and empowered to prepare, execute and deliver to the investor specified on the Convertible Note, in the name and on behalf of the Company, the Convertible Note, with such changes or modifications thereto as may be approved by any Authorized Officer.</w:t>
      </w:r>
    </w:p>
    <w:p>
      <w:pPr>
        <w:keepNext w:val="0"/>
        <w:spacing w:before="120" w:after="0" w:line="260" w:lineRule="exact"/>
        <w:ind w:left="1080" w:right="0" w:firstLine="0"/>
        <w:jc w:val="left"/>
      </w:pPr>
      <w:r>
        <w:rPr>
          <w:rFonts w:ascii="Times New Roman" w:hAnsi="Times New Roman" w:eastAsia="Times New Roman" w:cs="Times New Roman"/>
          <w:b/>
          <w:sz w:val="24"/>
        </w:rPr>
        <w:t>Securities Laws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Authorized Officers be, and each of them acting singly hereby is, authorized, directed and empowered to execute and deliver all documents and take whatever action is deemed necessary or advisable to comply with all applicable state and federal securities laws.</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sale and issuance of the Convertible Note shall be conducted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qualify for (i) exemption from various state requirements regarding registration of the sale of securities, if available, and (ii) the exemption from the requirements of the Securities Act of 1933, as amended (the “</w:t>
      </w:r>
      <w:r>
        <w:rPr>
          <w:rFonts w:ascii="Times New Roman" w:hAnsi="Times New Roman" w:eastAsia="Times New Roman" w:cs="Times New Roman"/>
          <w:b/>
          <w:sz w:val="24"/>
        </w:rPr>
        <w:t>Act</w:t>
      </w:r>
      <w:r>
        <w:rPr>
          <w:rFonts w:ascii="Times New Roman" w:hAnsi="Times New Roman" w:eastAsia="Times New Roman" w:cs="Times New Roman"/>
          <w:b w:val="0"/>
          <w:sz w:val="24"/>
        </w:rPr>
        <w:t>”), regarding registration of the sale of securities, as provided in Section 4(</w:t>
      </w:r>
      <w:r>
        <w:rPr>
          <w:rFonts w:ascii="Times New Roman" w:hAnsi="Times New Roman" w:eastAsia="Times New Roman" w:cs="Times New Roman"/>
          <w:b/>
          <w:sz w:val="24"/>
        </w:rPr>
        <w:t>a</w:t>
      </w:r>
      <w:r>
        <w:rPr>
          <w:rFonts w:ascii="Times New Roman" w:hAnsi="Times New Roman" w:eastAsia="Times New Roman" w:cs="Times New Roman"/>
          <w:b w:val="0"/>
          <w:sz w:val="24"/>
        </w:rPr>
        <w:t>)(2) or Regulation D of the Act, and the Authorized Officers, in consultation with legal counsel, are hereby authorized and directed to execute and file such documents as are necessary or appropriate.</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the Board hereby adopts and approves the full text of any resolutions as may be required under the securities laws of any state in which the Convertible Note is to be qualified or registered for sale or exempt from such registration or qualification, and copies of such resolutions shall be inserted in the minute books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these resolutions with the same force and effect as if presented to and approved by the Board, and each of the Secretary and the Authorized Officers is hereby authorized, directed and empowered to certify to any such jurisdiction that any form of resolution so required has been adopted by the Board.</w:t>
      </w:r>
    </w:p>
    <w:p>
      <w:pPr>
        <w:keepNext w:val="0"/>
        <w:spacing w:before="120" w:after="0" w:line="260" w:lineRule="exact"/>
        <w:ind w:left="1080" w:right="0" w:firstLine="0"/>
        <w:jc w:val="left"/>
      </w:pPr>
      <w:r>
        <w:rPr>
          <w:rFonts w:ascii="Times New Roman" w:hAnsi="Times New Roman" w:eastAsia="Times New Roman" w:cs="Times New Roman"/>
          <w:b/>
          <w:sz w:val="24"/>
        </w:rPr>
        <w:t>Omnibus Resolutions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of the appropriate officers of the Company be, and each of them hereby is, authorized (i) to prepare, execute, deliver and perform, as the case may be, such agreements, amendments, applications, approvals, certificates, communications, consents, demands, directions, documents, further assurances, instruments, notices, orders, requests, resolutions, supplements or undertakings, (ii) to pay or cause to be paid on behalf of the Company any related costs and expenses and (iii) to take such other actions, in the name and on behalf of the Company, as each such officer, in his or her discretion, shall deem necessary or advisable to complete and effect the foregoing transactions or to carry out the intent and purposes of the foregoing resolutions and the transactions contemplated thereby, and the preparation, execution and delivery of any such agreements, amendments, applications, approvals, certificates, communications, consents, demands, directions, documents, further assurances, instruments, notices, orders, requests, resolutions, supplements or undertakings, and the payment of any such costs or expenses and the performance of any such other acts shall be conclusive evidence of the approval of the Board thereof and all matters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all actions heretofore taken by the officers and directors of the Company with respect to the foregoing transactions and all other matters contemplated by the foregoing resolutions are hereby approved, adopted, ratified and confirmed.</w:t>
      </w:r>
    </w:p>
    <w:p>
      <w:pPr>
        <w:keepNext w:val="0"/>
        <w:spacing w:before="200" w:after="0" w:line="260" w:lineRule="exact"/>
        <w:ind w:left="1440" w:right="0" w:firstLine="0"/>
        <w:jc w:val="center"/>
      </w:pPr>
      <w:r>
        <w:rPr>
          <w:rFonts w:ascii="Times New Roman" w:hAnsi="Times New Roman" w:eastAsia="Times New Roman" w:cs="Times New Roman"/>
          <w:b w:val="0"/>
          <w:sz w:val="24"/>
        </w:rPr>
        <w:t>[remainder of the page intentionally left blank]</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CONVERTIBLE PROMISSORY NOTE.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