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RESOLUTIONS OF THE BOARD OF DIRECTORS OF [company name]</w:t>
      </w:r>
    </w:p>
    <w:p>
      <w:pPr/>
      <w:r>
        <w:rPr>
          <w:rFonts w:ascii="Times New Roman" w:hAnsi="Times New Roman" w:eastAsia="Times New Roman" w:cs="Times New Roman"/>
          <w:sz w:val="24"/>
        </w:rPr>
        <w:t>ACTION BY UNANIMOUS WRITTEN CONSENT</w:t>
      </w:r>
    </w:p>
    <w:p>
      <w:pPr/>
      <w:r>
        <w:rPr>
          <w:rFonts w:ascii="Times New Roman" w:hAnsi="Times New Roman" w:eastAsia="Times New Roman" w:cs="Times New Roman"/>
          <w:sz w:val="24"/>
        </w:rPr>
        <w:t>IN LIEU OF A MEETING OF THE BOARD OF DIRECTORS OF [company name]</w:t>
      </w:r>
    </w:p>
    <w:p>
      <w:pPr/>
      <w:r>
        <w:rPr>
          <w:rFonts w:ascii="Times New Roman" w:hAnsi="Times New Roman" w:eastAsia="Times New Roman" w:cs="Times New Roman"/>
          <w:sz w:val="24"/>
        </w:rPr>
        <w:t>Board Resolutions: Nonqualified Deferred Compensation Plan Termination</w:t>
      </w:r>
    </w:p>
    <w:p>
      <w:pPr/>
      <w:r>
        <w:rPr>
          <w:rFonts w:ascii="Times New Roman" w:hAnsi="Times New Roman" w:eastAsia="Times New Roman" w:cs="Times New Roman"/>
          <w:sz w:val="24"/>
        </w:rPr>
        <w:t>The following resolutions were duly adopted by the Board of Directors (the “Board”) of [company name] (the “Company”) on [date] and have not been modified or rescinded:</w:t>
      </w:r>
    </w:p>
    <w:p>
      <w:pPr/>
      <w:r>
        <w:rPr>
          <w:rFonts w:ascii="Times New Roman" w:hAnsi="Times New Roman" w:eastAsia="Times New Roman" w:cs="Times New Roman"/>
          <w:b/>
          <w:sz w:val="24"/>
        </w:rPr>
        <w:t>WHEREAS</w:t>
      </w:r>
      <w:r>
        <w:rPr>
          <w:rFonts w:ascii="Times New Roman" w:hAnsi="Times New Roman" w:eastAsia="Times New Roman" w:cs="Times New Roman"/>
          <w:sz w:val="24"/>
        </w:rPr>
        <w:t xml:space="preserve">, the Company has entered into that certain [name of change-in-control agreement], dated as of [agreement date] (the “Agreement”), pursuant to which there [is expected to occur OR has occurred] an event (the “Change in Control”) that constitutes a change in the ownership or effective control of the Company (or a relevant corporation) or a change in ownership of a substantial portion of the assets of the Company (or a </w:t>
      </w:r>
      <w:r>
        <w:rPr>
          <w:rFonts w:ascii="Times New Roman" w:hAnsi="Times New Roman" w:eastAsia="Times New Roman" w:cs="Times New Roman"/>
          <w:sz w:val="24"/>
        </w:rPr>
        <w:t>brelevant</w:t>
      </w:r>
      <w:r>
        <w:rPr>
          <w:rFonts w:ascii="Times New Roman" w:hAnsi="Times New Roman" w:eastAsia="Times New Roman" w:cs="Times New Roman"/>
          <w:sz w:val="24"/>
        </w:rPr>
        <w:t xml:space="preserve"> corporation), each within the meaning of Section 409A of the Internal Revenue Code of 1986, as amended from time to time, and the regulatory guidance issued there under (collectively, “Section 409A”);</w:t>
      </w:r>
    </w:p>
    <w:p>
      <w:pPr/>
      <w:r>
        <w:rPr>
          <w:rFonts w:ascii="Times New Roman" w:hAnsi="Times New Roman" w:eastAsia="Times New Roman" w:cs="Times New Roman"/>
          <w:b/>
          <w:sz w:val="24"/>
        </w:rPr>
        <w:t>WHEREAS</w:t>
      </w:r>
      <w:r>
        <w:rPr>
          <w:rFonts w:ascii="Times New Roman" w:hAnsi="Times New Roman" w:eastAsia="Times New Roman" w:cs="Times New Roman"/>
          <w:sz w:val="24"/>
        </w:rPr>
        <w:t>, the Company sponsors the [plan name] (the “Terminating Plan”), a nonqualified deferred compensation arrangement within the meaning of Section 409A, and neither the Company nor its affiliates sponsor any other nonqualified deferred compensation arrangement that is treated as the same plan as the Terminating Plan under Treasury Regulation section 1.409A-1(c</w:t>
      </w:r>
      <w:r>
        <w:rPr>
          <w:rFonts w:ascii="Times New Roman" w:hAnsi="Times New Roman" w:eastAsia="Times New Roman" w:cs="Times New Roman"/>
          <w:sz w:val="24"/>
        </w:rPr>
        <w:t>)(</w:t>
      </w:r>
      <w:r>
        <w:rPr>
          <w:rFonts w:ascii="Times New Roman" w:hAnsi="Times New Roman" w:eastAsia="Times New Roman" w:cs="Times New Roman"/>
          <w:sz w:val="24"/>
        </w:rPr>
        <w:t>2) and covers any participants experiencing the Change in Control;</w:t>
      </w:r>
    </w:p>
    <w:p>
      <w:pPr/>
      <w:r>
        <w:rPr>
          <w:rFonts w:ascii="Times New Roman" w:hAnsi="Times New Roman" w:eastAsia="Times New Roman" w:cs="Times New Roman"/>
          <w:b/>
          <w:sz w:val="24"/>
        </w:rPr>
        <w:t>WHEREAS</w:t>
      </w:r>
      <w:r>
        <w:rPr>
          <w:rFonts w:ascii="Times New Roman" w:hAnsi="Times New Roman" w:eastAsia="Times New Roman" w:cs="Times New Roman"/>
          <w:sz w:val="24"/>
        </w:rPr>
        <w:t>, the Company reserves the right to terminate the Terminating Plan at any time; and</w:t>
      </w:r>
    </w:p>
    <w:p>
      <w:pPr/>
      <w:r>
        <w:rPr>
          <w:rFonts w:ascii="Times New Roman" w:hAnsi="Times New Roman" w:eastAsia="Times New Roman" w:cs="Times New Roman"/>
          <w:b/>
          <w:sz w:val="24"/>
        </w:rPr>
        <w:t>WHEREAS</w:t>
      </w:r>
      <w:r>
        <w:rPr>
          <w:rFonts w:ascii="Times New Roman" w:hAnsi="Times New Roman" w:eastAsia="Times New Roman" w:cs="Times New Roman"/>
          <w:sz w:val="24"/>
        </w:rPr>
        <w:t>, the Board has determined that it is advisable and in the best interests of the Company and its stockholders to terminate the Terminating Plan, in connection with the Change in Control, and to distribute all amounts credited to participants thereunder, in a manner that is consistent with Treasury Regulation section 1.409A-3(j)(4)(ix)(B) (the “Section 409A CIC Termination Rules”) to prevent any such liquidation distributions from being treated as an accelerated payment under Section 409A.</w:t>
      </w:r>
    </w:p>
    <w:p>
      <w:pPr/>
      <w:r>
        <w:rPr>
          <w:rFonts w:ascii="Times New Roman" w:hAnsi="Times New Roman" w:eastAsia="Times New Roman" w:cs="Times New Roman"/>
          <w:b/>
          <w:sz w:val="24"/>
        </w:rPr>
        <w:t>NOW, THEREFORE, BE IT RESOLVED</w:t>
      </w:r>
      <w:r>
        <w:rPr>
          <w:rFonts w:ascii="Times New Roman" w:hAnsi="Times New Roman" w:eastAsia="Times New Roman" w:cs="Times New Roman"/>
          <w:sz w:val="24"/>
        </w:rPr>
        <w:t>, that the Board hereby irrevocably terminates the Terminating Plan, effective as of [effective date] (the “Termination Date”), and no new deferrals of compensation shall be permitted thereunder after the Termination Date;</w:t>
      </w:r>
    </w:p>
    <w:p>
      <w:pPr/>
      <w:r>
        <w:rPr>
          <w:rFonts w:ascii="Times New Roman" w:hAnsi="Times New Roman" w:eastAsia="Times New Roman" w:cs="Times New Roman"/>
          <w:b/>
          <w:sz w:val="24"/>
        </w:rPr>
        <w:t>RESOLVED FURTHER</w:t>
      </w:r>
      <w:r>
        <w:rPr>
          <w:rFonts w:ascii="Times New Roman" w:hAnsi="Times New Roman" w:eastAsia="Times New Roman" w:cs="Times New Roman"/>
          <w:sz w:val="24"/>
        </w:rPr>
        <w:t>, that the Board hereby amends the Terminating Plan as set forth in Exhibit A to provide for its termination and liquidation in accordance with the Section 409A CIC Termination Rules, including the distribution of amounts deferred under the plan no later than 12 months following the date hereof, or, if earlier, in accordance with the terms of the Terminating Plan as in effect prior to the termination amendment;</w:t>
      </w:r>
    </w:p>
    <w:p>
      <w:pPr/>
      <w:r>
        <w:rPr>
          <w:rFonts w:ascii="Times New Roman" w:hAnsi="Times New Roman" w:eastAsia="Times New Roman" w:cs="Times New Roman"/>
          <w:b/>
          <w:sz w:val="24"/>
        </w:rPr>
        <w:t>RESOLVED FURTHER</w:t>
      </w:r>
      <w:r>
        <w:rPr>
          <w:rFonts w:ascii="Times New Roman" w:hAnsi="Times New Roman" w:eastAsia="Times New Roman" w:cs="Times New Roman"/>
          <w:sz w:val="24"/>
        </w:rPr>
        <w:t>, that the officers of the Company hereby are authorized, empowered and directed, in the name and on behalf of the Company, to execute and deliver all such documents and instruments and to take all actions as may be necessary or convenient to reflect or carry out the purposes of the foregoing resolutions; and</w:t>
      </w:r>
    </w:p>
    <w:p>
      <w:pPr/>
      <w:r>
        <w:rPr>
          <w:rFonts w:ascii="Times New Roman" w:hAnsi="Times New Roman" w:eastAsia="Times New Roman" w:cs="Times New Roman"/>
          <w:b/>
          <w:sz w:val="24"/>
        </w:rPr>
        <w:t>RESOLVED FURTHER</w:t>
      </w:r>
      <w:r>
        <w:rPr>
          <w:rFonts w:ascii="Times New Roman" w:hAnsi="Times New Roman" w:eastAsia="Times New Roman" w:cs="Times New Roman"/>
          <w:sz w:val="24"/>
        </w:rPr>
        <w:t>, that all acts, transactions or agreements undertaken prior to the adoption of these resolutions by any of the officers of the Company in connection with the foregoing resolutions are hereby ratified, confirmed and adopted.</w:t>
      </w:r>
    </w:p>
    <w:p>
      <w:pPr/>
    </w:p>
    <w:p>
      <w:pPr/>
      <w:r>
        <w:rPr>
          <w:rFonts w:ascii="Times New Roman" w:hAnsi="Times New Roman" w:eastAsia="Times New Roman" w:cs="Times New Roman"/>
          <w:b/>
          <w:sz w:val="24"/>
        </w:rPr>
        <w:t>IN WITNESS WHEREOF</w:t>
      </w:r>
      <w:r>
        <w:rPr>
          <w:rFonts w:ascii="Times New Roman" w:hAnsi="Times New Roman" w:eastAsia="Times New Roman" w:cs="Times New Roman"/>
          <w:sz w:val="24"/>
        </w:rPr>
        <w:t>, the Company has caused these resolutions to be duly executed by its President and attested to by its Secretary this [date] and placed in the Company’s minute records.</w:t>
      </w:r>
    </w:p>
    <w:p>
      <w:pPr/>
    </w:p>
    <w:p>
      <w:pPr/>
      <w:r>
        <w:rPr>
          <w:rFonts w:ascii="Times New Roman" w:hAnsi="Times New Roman" w:eastAsia="Times New Roman" w:cs="Times New Roman"/>
          <w:sz w:val="24"/>
        </w:rPr>
        <w:t>[</w:t>
      </w:r>
      <w:r>
        <w:rPr>
          <w:rFonts w:ascii="Times New Roman" w:hAnsi="Times New Roman" w:eastAsia="Times New Roman" w:cs="Times New Roman"/>
          <w:sz w:val="24"/>
        </w:rPr>
        <w:t>company</w:t>
      </w:r>
      <w:r>
        <w:rPr>
          <w:rFonts w:ascii="Times New Roman" w:hAnsi="Times New Roman" w:eastAsia="Times New Roman" w:cs="Times New Roman"/>
          <w:sz w:val="24"/>
        </w:rPr>
        <w:t xml:space="preserve"> name]</w:t>
      </w:r>
    </w:p>
    <w:p>
      <w:pPr/>
    </w:p>
    <w:p>
      <w:pPr/>
    </w:p>
    <w:p>
      <w:pPr/>
    </w:p>
    <w:p>
      <w:pPr/>
    </w:p>
    <w:p>
      <w:pPr/>
      <w:r>
        <w:rPr>
          <w:rFonts w:ascii="Times New Roman" w:hAnsi="Times New Roman" w:eastAsia="Times New Roman" w:cs="Times New Roman"/>
          <w:sz w:val="24"/>
        </w:rPr>
        <w:t>Exhibit A. Termination and Liquidation Amendment</w:t>
      </w:r>
      <w:r>
        <w:rPr>
          <w:rFonts w:ascii="Times New Roman" w:hAnsi="Times New Roman" w:eastAsia="Times New Roman" w:cs="Times New Roman"/>
          <w:sz w:val="24"/>
        </w:rPr>
        <w:t>.</w:t>
      </w:r>
    </w:p>
    <w:p>
      <w:pPr>
        <w:jc w:val="center"/>
      </w:pPr>
      <w:r>
        <w:rPr>
          <w:rFonts w:ascii="Times New Roman" w:hAnsi="Times New Roman" w:eastAsia="Times New Roman" w:cs="Times New Roman"/>
          <w:b w:val="0"/>
          <w:sz w:val="24"/>
        </w:rPr>
        <w:t>Amendment [number] to the [plan name] (the “Plan”)</w:t>
      </w:r>
    </w:p>
    <w:p>
      <w:pPr/>
      <w:r>
        <w:rPr>
          <w:rFonts w:ascii="Times New Roman" w:hAnsi="Times New Roman" w:eastAsia="Times New Roman" w:cs="Times New Roman"/>
          <w:sz w:val="24"/>
        </w:rPr>
        <w:t>Effective as of [date of resolutions], the Plan is hereby amended by adding the following to the Plan:</w:t>
      </w:r>
    </w:p>
    <w:p>
      <w:pPr/>
      <w:r>
        <w:rPr>
          <w:rFonts w:ascii="Times New Roman" w:hAnsi="Times New Roman" w:eastAsia="Times New Roman" w:cs="Times New Roman"/>
          <w:b/>
          <w:sz w:val="24"/>
        </w:rPr>
        <w:t>Plan Termination and Liquidation.</w:t>
      </w:r>
      <w:r>
        <w:rPr>
          <w:rFonts w:ascii="Times New Roman" w:hAnsi="Times New Roman" w:eastAsia="Times New Roman" w:cs="Times New Roman"/>
          <w:sz w:val="24"/>
        </w:rPr>
        <w:t xml:space="preserve"> Notwithstanding anything to the contrary in the Plan, the Plan shall terminate, in connection with a change in the ownership or effective control, or the ownership of a substantial portion of the assets of the Company (or another relevant corporation), within the meaning of Treasury Regulation section 1.409A-3(i)(5), as of [effective date] (the “Effective Date”), and no further amounts shall be deferred under the Plan after such date, regardless of any election then in effect. Distributions of Participant account balances shall continue in accordance with the terms of the Plan as in effect prior to the Effective Date until such time (the “Liquidation Date”) as the Administrator makes a final liquidation distribution for any Participants who continue to have a balance in a Plan account. The Liquidation Date for any Participant shall be as soon as administratively practicable, but in no case later than the one-year anniversary of the date the Company took irrevocable action to terminate the Plan. This paragraph shall be construed and interpreted in a manner to comply with the requirements of Treasury Regulation section 1.409A-3(j</w:t>
      </w:r>
      <w:r>
        <w:rPr>
          <w:rFonts w:ascii="Times New Roman" w:hAnsi="Times New Roman" w:eastAsia="Times New Roman" w:cs="Times New Roman"/>
          <w:sz w:val="24"/>
        </w:rPr>
        <w:t>)(</w:t>
      </w:r>
      <w:r>
        <w:rPr>
          <w:rFonts w:ascii="Times New Roman" w:hAnsi="Times New Roman" w:eastAsia="Times New Roman" w:cs="Times New Roman"/>
          <w:sz w:val="24"/>
        </w:rPr>
        <w:t>4)(ix)(B).</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