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Resolutions: Nonqualified Deferred Compensation Plan Termination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RESOLUTIONS OF THE BOARD OF DIRECTORS OF [COMPANY NAME]</w:t>
      </w:r>
    </w:p>
    <w:p>
      <w:pPr>
        <w:keepNext w:val="0"/>
        <w:spacing w:before="200" w:after="0" w:line="260" w:lineRule="exact"/>
        <w:ind w:left="360" w:right="0" w:firstLine="0"/>
        <w:jc w:val="center"/>
      </w:pPr>
      <w:r>
        <w:rPr>
          <w:rFonts w:ascii="Times New Roman" w:hAnsi="Times New Roman" w:eastAsia="Times New Roman" w:cs="Times New Roman"/>
          <w:b/>
          <w:sz w:val="24"/>
        </w:rPr>
        <w:t>ACTION BY UNANIMOUS WRITTEN CONSENT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IN LIEU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 OF THE BOARD OF DIRECTORS OF [COMPANY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resolutions were duly adopted by the Board of Directors (the “Board”) of [company name] (the “Company”) on [date] and have not been modified or rescinded: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has entered into that certain [name of change-in-control agreement], dated as of [agreement date] (the “Agreement”), pursuant to which there [is expected to occur OR has occurred]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(the “Change in Control”) that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ownership or effective control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ownership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the assets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brelevant corporation), each within the meaning of Section 409A of the Internal Revenue Code of 1986, as amended from time to time, and the regulatory guidance issued there under (collectively, “Section 409A”);</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sponsors the [plan name] (the “Terminating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deferred compensation arrangement within the meaning of Section 409A, and neither the Company nor its affiliates sponsor any other nonqualified deferred compensation arrangement that is treated as the same plan as the Terminating Plan under Treasury Regulation section 1.409A-1(c)(2) and covers any participants experiencing the Change in Control;</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Company reserves the right to terminate the Terminating Plan at any time;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has determined that it is advisable and in the best interests of the Company and its stockholders to terminate the Terminating Plan, in connection with the Change in Control, and to distribute all amounts credited to participants thereunder,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consistent with Treasury Regulation section 1.409A-3(j)(4)(ix)(B) (the “Section 409A CIC Termination Rules”) to prevent any such liquidation distributions from being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accelerated payment under Section 409A.</w:t>
      </w:r>
    </w:p>
    <w:p>
      <w:pPr>
        <w:keepNext w:val="0"/>
        <w:spacing w:before="200" w:after="0" w:line="260" w:lineRule="exact"/>
        <w:ind w:left="36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 the Board hereby irrevocably terminates the Terminating Plan, effective as of [effective date] (the “Termination Date”), and no new deferrals of compensation shall be permitted thereunder after the Termination Date;</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Board hereby amends the Terminating Plan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provide for its termination and liquidation in accordance with the Section 409A CIC Termination Rules, including the distribution of amounts deferred under the plan no later than 12 months following the date hereof, or, if earlier, in accordance with the terms of the Terminating Plan as in effect prior to the termination amendment;</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of the Company hereby are authorized, empowered and directed, in the name and on behalf of the Company, to execute and deliver all such documents and instruments and to take all actions as may be necessary or convenient to reflect or carry out the purposes of the foregoing resolutions; and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all acts, transactions or agreements undertaken prior to the adoption of these resolutions by any of the officers of the Company in connection with the foregoing resolutions are hereby ratified, confirmed and adopted.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Company has caused these resolutions to be duly executed by its President and attested to by its Secretary this [date] and placed in the Company’s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LIQUIDATION AMENDMENT.</w:t>
      </w:r>
    </w:p>
    <w:p>
      <w:pPr>
        <w:keepNext w:val="0"/>
        <w:spacing w:before="200" w:after="0" w:line="260" w:lineRule="exact"/>
        <w:ind w:left="720" w:right="0" w:firstLine="0"/>
        <w:jc w:val="center"/>
      </w:pPr>
      <w:r>
        <w:rPr>
          <w:rFonts w:ascii="Times New Roman" w:hAnsi="Times New Roman" w:eastAsia="Times New Roman" w:cs="Times New Roman"/>
          <w:b w:val="0"/>
          <w:sz w:val="24"/>
        </w:rPr>
        <w:t>Amendment [number] to the [plan name] (the “Plan”)</w:t>
      </w:r>
    </w:p>
    <w:p>
      <w:pPr>
        <w:keepNext w:val="0"/>
        <w:spacing w:before="200" w:after="0" w:line="260" w:lineRule="exact"/>
        <w:ind w:left="720" w:right="0" w:firstLine="0"/>
        <w:jc w:val="both"/>
      </w:pPr>
      <w:r>
        <w:rPr>
          <w:rFonts w:ascii="Times New Roman" w:hAnsi="Times New Roman" w:eastAsia="Times New Roman" w:cs="Times New Roman"/>
          <w:b w:val="0"/>
          <w:sz w:val="24"/>
        </w:rPr>
        <w:t>Effective as of [date of resolutions], the Plan is hereby amended by adding the following to the Plan:</w:t>
      </w:r>
    </w:p>
    <w:p>
      <w:pPr>
        <w:keepNext w:val="0"/>
        <w:spacing w:before="120" w:after="0" w:line="260" w:lineRule="exact"/>
        <w:ind w:left="1080" w:right="0" w:firstLine="0"/>
        <w:jc w:val="left"/>
      </w:pPr>
      <w:r>
        <w:rPr>
          <w:rFonts w:ascii="Times New Roman" w:hAnsi="Times New Roman" w:eastAsia="Times New Roman" w:cs="Times New Roman"/>
          <w:b/>
          <w:sz w:val="24"/>
        </w:rPr>
        <w:t>Plan Termination and Liquidation.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to the contrary in the Plan, the Plan shall terminate,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ownership or effective control, or the ownership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the assets of the Company (or another relevant corporation), within the meaning of Treasury Regulation section 1.409A-3(i)(5), as of [effective date] (the “Effective Date”), and no further amounts shall be deferred under the Plan after such date, regardless of any election then in effect. Distributions of Participant account balances shall continue in accordance with the terms of the Plan as in effect prior to the Effective Date until such time (the “Liquidation Date”) as the Administrator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liquidation distribution for any Participants who continue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account. The Liquidation Date for any Participant shall be as soon as administratively practicable, but in no case later than the one-year anniversary of the date the Company took irrevocable action to terminate the Plan. This paragraph shall be construed and interpreted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to comply with the requirements of Treasury Regulation section 1.409A-3(j)(4)(ix)(B).</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