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Proxy Statement for Annual Meeting Approval</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Board hereby authorizes, approves and adopts the form of proxy statement[, proxy voting card and other proxy materials] relating to the Company’s [YEAR] Annual Meeting of Shareholders (the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in substantially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w:t>
      </w:r>
      <w:r>
        <w:rPr>
          <w:rFonts w:ascii="Times New Roman" w:hAnsi="Times New Roman" w:eastAsia="Times New Roman" w:cs="Times New Roman"/>
          <w:b/>
          <w:sz w:val="24"/>
        </w:rPr>
        <w:t>Proxy Statement</w:t>
      </w:r>
      <w:r>
        <w:rPr>
          <w:rFonts w:ascii="Times New Roman" w:hAnsi="Times New Roman" w:eastAsia="Times New Roman" w:cs="Times New Roman"/>
          <w:b w:val="0"/>
          <w:sz w:val="24"/>
        </w:rPr>
        <w:t>”), together with such changes, supplements and amendments thereto as the [officers of the Company/TITLES OF AUTHORIZED OFFICERS, together the “Proper Officers”], determine in their sole discretion, to be necessary and appropriate, such determination to be evidenced by the [filing of the Proxy Statement with the Securities and Exchange Commission (SEC), which filing is hereby authorized and approved or the] distribution of the Proxy Statement to shareholders;</w:t>
      </w:r>
    </w:p>
    <w:p>
      <w:pPr>
        <w:keepNext w:val="0"/>
        <w:spacing w:before="120" w:after="0" w:line="260" w:lineRule="exact"/>
        <w:ind w:left="36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[officers/Proper Officers] of the Company be, and each of them hereby is, authorized, empowered and directed, for, in the name of, and on behalf of the Company, to distribute the Proxy Statement, [YEAR] annual report, proxy card and such other proxy materials relating to the Annual Meeting as may be required by the Company’s bylaws and applicable securities laws and regulations, to be distributed to shareholders in advance of the Annual Meeting[, and filed with or delivered to the Securities and Exchange Commission [and NAME OF EXCHANGE] as may be required];</w:t>
      </w:r>
    </w:p>
    <w:p>
      <w:pPr>
        <w:keepNext w:val="0"/>
        <w:spacing w:before="120" w:after="0" w:line="260" w:lineRule="exact"/>
        <w:ind w:left="36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Proper Officers of the Company be, and each of them acting singly hereby is, authorized and directed to take all such further actions, to execute, deliver and file all such further instruments and documents, and to do all such further things, in the name and on behalf of the Company and under its corporate seal or otherwise, and to pay all such fees, expenses and taxes, as in any such officer’s judgment may be necessary or advisable in order to carry out fully the intent and accomplish the purposes of the foregoing resolutions.</w:t>
      </w:r>
    </w:p>
    <w:p>
      <w:pPr>
        <w:keepNext w:val="0"/>
        <w:spacing w:before="120" w:after="0" w:line="260" w:lineRule="exact"/>
        <w:ind w:left="36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