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Board Resolutions: Qualified Retirement Plan Amendment or Restatement</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RESOLUTIONS OF THE BOARD OF DIRECTORS OF [company name]</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resolutions were duly adopted by the Board of Directors (the “Board”) of [company name] (the “Company”) on [date] and have not been modified or rescinded: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Company sponsors the [plan name] (the “Plan”),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tax-qualified retirement plan, for the exclusive benefit of its employees;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pursuant to Section [__] of the Plan, the Board has the authority to amend the Plan on behalf of itself and all of its affiliates;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desires to amend [and restate] the Plan, effective as of [date], to [description of reason for the plan’s amendment or restatement];</w:t>
      </w:r>
    </w:p>
    <w:p>
      <w:pPr>
        <w:keepNext w:val="0"/>
        <w:spacing w:before="200" w:after="0" w:line="260" w:lineRule="exact"/>
        <w:ind w:left="360" w:right="0" w:firstLine="0"/>
        <w:jc w:val="both"/>
      </w:pPr>
      <w:r>
        <w:rPr>
          <w:rFonts w:ascii="Times New Roman" w:hAnsi="Times New Roman" w:eastAsia="Times New Roman" w:cs="Times New Roman"/>
          <w:b/>
          <w:sz w:val="24"/>
        </w:rPr>
        <w:t>NOW THEREFORE, BE IT RESOLVED</w:t>
      </w:r>
      <w:r>
        <w:rPr>
          <w:rFonts w:ascii="Times New Roman" w:hAnsi="Times New Roman" w:eastAsia="Times New Roman" w:cs="Times New Roman"/>
          <w:b w:val="0"/>
          <w:sz w:val="24"/>
        </w:rPr>
        <w:t>, that, effective as of [date], the [amendment or restatement number] [Amendment to the Plan OR Amended and Restated Plan], substantially in the form attached hereto, is hereby adopted [and approved in its entirety by the Board];</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the [officers of the Company or other description of authorized persons] (the “Authorized Persons”) be, and each of them individually hereby is, authorized and directed, for and on behalf and in the name of the Company, to do and perform and cause to be done and performed all acts and things, and to execute and file or deliver and cause to be executed and filed or delivered, any and all certificates, agreements and other documents and changes, amendments and modifications thereto, and to do all such other acts and things as in their opinion may be necessary, appropriate or advisable in order to carry out the intent and purposes of the foregoing resolutions, as conclusively evidenced by the taking of such action or by the execution and delivery of such certificates, agreements and documents; and</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any actions taken by the Authorized Persons prior to the date of the foregoing resolutions adopted hereby that are within the authority conferred thereby are hereby ratified, confirmed and approved as the acts and deeds of this Company.</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Company has caused these resolutions to be duly executed by its President and attested to by its Secretary this [date] and placed in the Company’s minute records.</w:t>
      </w:r>
    </w:p>
    <w:p>
      <w:pPr>
        <w:keepNext w:val="0"/>
        <w:spacing w:before="200" w:after="0" w:line="260" w:lineRule="exact"/>
        <w:ind w:left="360" w:right="0" w:firstLine="0"/>
        <w:jc w:val="both"/>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president], President</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secretary],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