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Board Resolutions: Qualified Retirement Plan Trust and Recordkeeping Agreement Termination</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RESOLUTIONS OF THE BOARD OF DIRECTORS OF [COMPANY NAME]</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resolutions were duly adopted by the Board of Directors (the “</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of [company name]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on [date] and have not been modified or rescinded: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and Plan of Merger, dated as of [date] (the “</w:t>
      </w:r>
      <w:r>
        <w:rPr>
          <w:rFonts w:ascii="Times New Roman" w:hAnsi="Times New Roman" w:eastAsia="Times New Roman" w:cs="Times New Roman"/>
          <w:b w:val="0"/>
          <w:sz w:val="24"/>
        </w:rPr>
        <w:t>Transaction Agreement</w:t>
      </w:r>
      <w:r>
        <w:rPr>
          <w:rFonts w:ascii="Times New Roman" w:hAnsi="Times New Roman" w:eastAsia="Times New Roman" w:cs="Times New Roman"/>
          <w:b w:val="0"/>
          <w:sz w:val="24"/>
        </w:rPr>
        <w:t xml:space="preserve">”), by and among the Company, [name of acquirer],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(the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 xml:space="preserve">”), and [name of merger subsidiary],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wholly owned subsidiary of the Buyer (the “</w:t>
      </w:r>
      <w:r>
        <w:rPr>
          <w:rFonts w:ascii="Times New Roman" w:hAnsi="Times New Roman" w:eastAsia="Times New Roman" w:cs="Times New Roman"/>
          <w:b w:val="0"/>
          <w:sz w:val="24"/>
        </w:rPr>
        <w:t>Merger Sub</w:t>
      </w:r>
      <w:r>
        <w:rPr>
          <w:rFonts w:ascii="Times New Roman" w:hAnsi="Times New Roman" w:eastAsia="Times New Roman" w:cs="Times New Roman"/>
          <w:b w:val="0"/>
          <w:sz w:val="24"/>
        </w:rPr>
        <w:t>”), pursuant to which the Merger Sub will be merged with and into the Company as of the Effective Time (as defined in the Transaction Agreement);</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Company sponsors the [plan name]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tax-qualified retirement plan, for the benefit of its employees, and has the authority to administer the Plan on behalf of itself and all of its affiliates;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agreement with [name of trustee] (the "</w:t>
      </w:r>
      <w:r>
        <w:rPr>
          <w:rFonts w:ascii="Times New Roman" w:hAnsi="Times New Roman" w:eastAsia="Times New Roman" w:cs="Times New Roman"/>
          <w:b w:val="0"/>
          <w:sz w:val="24"/>
        </w:rPr>
        <w:t>Trust Agreement</w:t>
      </w:r>
      <w:r>
        <w:rPr>
          <w:rFonts w:ascii="Times New Roman" w:hAnsi="Times New Roman" w:eastAsia="Times New Roman" w:cs="Times New Roman"/>
          <w:b w:val="0"/>
          <w:sz w:val="24"/>
        </w:rPr>
        <w:t>") for the purpose of distributing the assets and income of the Plan accumulated by the trust to employees or their beneficiaries in accordance with the Plan terms;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Company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recordkeeping agreement with [name of recordkeeper] (the "</w:t>
      </w:r>
      <w:r>
        <w:rPr>
          <w:rFonts w:ascii="Times New Roman" w:hAnsi="Times New Roman" w:eastAsia="Times New Roman" w:cs="Times New Roman"/>
          <w:b w:val="0"/>
          <w:sz w:val="24"/>
        </w:rPr>
        <w:t>Recordkeeping Agreement</w:t>
      </w:r>
      <w:r>
        <w:rPr>
          <w:rFonts w:ascii="Times New Roman" w:hAnsi="Times New Roman" w:eastAsia="Times New Roman" w:cs="Times New Roman"/>
          <w:b w:val="0"/>
          <w:sz w:val="24"/>
        </w:rPr>
        <w:t>") for the purpose of facilitating the transmission of Plan data and production of reports in accordance with the Plan terms;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in accordance with Section [section number] of the Transaction Agreement, the Board has approved the termination of the Plan effective on or about [date];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has determined that it is advisable and in the best interests of the Company to terminate the Trust Agreement and Recordkeeping Agreement, effective in each case upon the completion of all respective services following the [termination of the Plan OR merger of the Plan into the Buyer Plan] and wind up of the affairs of the Plan;</w:t>
      </w:r>
    </w:p>
    <w:p>
      <w:pPr>
        <w:keepNext w:val="0"/>
        <w:spacing w:before="200" w:after="0" w:line="260" w:lineRule="exact"/>
        <w:ind w:left="36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that [name of trustee] shall be removed as trustee of the Plan and its services under the Trust Agreement shall be terminated in accordance with Section [section number] thereof, with such termination to be effective upon the completion of all recordkeeping services following the [termination of the Plan OR merger of the Plan into the Buyer Plan] and wind up of the affairs of the Plan, including but not limited to [the transfer of assets to the Buyer Plan and] securing from [name of recordkeeper] information necessary for the filing of the Plan’s Annual Report on Form 5500;</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recordkeeping services under the Recordkeeping Agreement shall be terminated in accordance with Section [section number] thereof, with such termination to be effective upon the completion of all recordkeeping services following the [termination of the Plan OR merger of the Plan into the Buyer Plan] and wind up of the affairs of the Plan, including but not limited to securing from [name of recordkeeper] information necessary for the filing of the Plan’s Annual Report on Form 5500;</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the [position/title of authorized persons] be, and each of them individually hereby is, authorized and directed, for and on behalf and in the name of the Company, to do and perform and cause to be done and performed all acts and things, and to execute and file or deliver and cause to be executed and filed or delivered, any and all certificates, agreements and other documents and changes, amendments and modifications thereto, and to do all such other acts and things as in their opinion may be necessary, appropriate or advisable in order to carry out the intent and purposes of the foregoing resolutions, as conclusively evidenced by the taking of such action or by the execution and delivery of such certificates, agreements and documents; and</w:t>
      </w:r>
    </w:p>
    <w:p>
      <w:pPr>
        <w:keepNext w:val="0"/>
        <w:spacing w:before="200" w:after="0" w:line="260" w:lineRule="exact"/>
        <w:ind w:left="36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any actions taken by the [position/title of authorized persons] prior to the date of the foregoing resolutions adopted hereby that are within the authority conferred thereby are hereby ratified, confirmed and approved as the acts and deeds of this Company.</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Company has caused these resolutions to be duly executed by its President and attested to by its Secretary this [date] and placed in the Company’s minute records.</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President], President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Secretary],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