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Prerequisite to Service of Subpoena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[NAME] </w:t>
      </w:r>
      <w:r>
        <w:rPr>
          <w:rFonts w:ascii="Times New Roman" w:hAnsi="Times New Roman" w:eastAsia="Times New Roman" w:cs="Times New Roman"/>
          <w:b/>
          <w:sz w:val="24"/>
        </w:rPr>
        <w:t>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INTENT TO 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SUBPOENA TO PRODUCE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DOCUMENTS AND THINGS FOR DISCOVERY PURSUANT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TO RULE 4009.21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prerequisite to service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subpoena for documents and things pursuant to Rule 4009.22, [plaintiff or defendant] certifies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intent to serve the subpoena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subpoena attached thereto was mailed or delivered to each party at least 20 days prior to the date on which the subpoena is sought to be served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intent, including the proposed subpoena, is attached to this certificate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No objection to the subpoena has been received –and–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subpoena which will be served is identical to the subpoena which is attached to the notice of intent to serve the subpoena.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