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Certificate of Compliance With Rule 8015(</w:t>
      </w:r>
      <w:r>
        <w:rPr>
          <w:rFonts w:ascii="Times New Roman" w:hAnsi="Times New Roman" w:eastAsia="Times New Roman" w:cs="Times New Roman"/>
          <w:b/>
          <w:sz w:val="24"/>
        </w:rPr>
        <w:t>a</w:t>
      </w:r>
      <w:r>
        <w:rPr>
          <w:rFonts w:ascii="Times New Roman" w:hAnsi="Times New Roman" w:eastAsia="Times New Roman" w:cs="Times New Roman"/>
          <w:b/>
          <w:sz w:val="24"/>
        </w:rPr>
        <w:t>)(7)(B) or 8016(d)(2) (Official Form 417C)</w:t>
      </w:r>
    </w:p>
    <w:p>
      <w:pPr>
        <w:keepNext w:val="0"/>
        <w:spacing w:after="0" w:line="240" w:lineRule="exact"/>
        <w:ind w:right="0"/>
        <w:jc w:val="both"/>
      </w:pPr>
    </w:p>
    <w:p>
      <w:pPr>
        <w:keepNext w:val="0"/>
        <w:spacing w:before="200" w:after="0" w:line="260" w:lineRule="exact"/>
        <w:ind w:left="0" w:right="0" w:firstLine="0"/>
        <w:jc w:val="both"/>
      </w:pPr>
      <w:r>
        <w:rPr>
          <w:rFonts w:ascii="Times New Roman" w:hAnsi="Times New Roman" w:eastAsia="Times New Roman" w:cs="Times New Roman"/>
          <w:b w:val="0"/>
          <w:sz w:val="24"/>
        </w:rPr>
        <w:t>Certificate of Compliance With Rule 8015(</w:t>
      </w:r>
      <w:r>
        <w:rPr>
          <w:rFonts w:ascii="Times New Roman" w:hAnsi="Times New Roman" w:eastAsia="Times New Roman" w:cs="Times New Roman"/>
          <w:b/>
          <w:sz w:val="24"/>
        </w:rPr>
        <w:t>a</w:t>
      </w:r>
      <w:r>
        <w:rPr>
          <w:rFonts w:ascii="Times New Roman" w:hAnsi="Times New Roman" w:eastAsia="Times New Roman" w:cs="Times New Roman"/>
          <w:b w:val="0"/>
          <w:sz w:val="24"/>
        </w:rPr>
        <w:t>)(7)(B) or 8016(d)(2)</w:t>
      </w:r>
    </w:p>
    <w:p>
      <w:pPr>
        <w:keepNext w:val="0"/>
        <w:spacing w:before="200" w:after="0" w:line="260" w:lineRule="exact"/>
        <w:ind w:left="0" w:right="0" w:firstLine="0"/>
        <w:jc w:val="both"/>
      </w:pPr>
      <w:r>
        <w:rPr>
          <w:rFonts w:ascii="Times New Roman" w:hAnsi="Times New Roman" w:eastAsia="Times New Roman" w:cs="Times New Roman"/>
          <w:b w:val="0"/>
          <w:sz w:val="24"/>
        </w:rPr>
        <w:t>This Official Form 417C certifies compliance with certain rules concerning bankruptcy appeals.</w:t>
      </w:r>
    </w:p>
    <w:p>
      <w:pPr>
        <w:keepNext w:val="0"/>
        <w:spacing w:before="200" w:after="0" w:line="260" w:lineRule="exact"/>
        <w:ind w:left="0" w:right="0" w:firstLine="0"/>
        <w:jc w:val="both"/>
      </w:pPr>
      <w:r>
        <w:rPr>
          <w:rFonts w:ascii="Times New Roman" w:hAnsi="Times New Roman" w:eastAsia="Times New Roman" w:cs="Times New Roman"/>
          <w:b w:val="0"/>
          <w:sz w:val="24"/>
        </w:rPr>
        <w:t>The rules governing appeals of bankruptcy court orders are generally set forth in Section 158 of Title 28 of the United States Code and Federal Rules of Bankruptcy Procedure (Bankruptcy Rules) 8001-8028. Bankruptcy Rule 8015 contains detailed requirements related to the length and format of appellate briefs filed on paper and electronically. Bankruptcy Rule 8016 governs cross-appeals.</w:t>
      </w:r>
    </w:p>
    <w:p>
      <w:pPr>
        <w:keepNext w:val="0"/>
        <w:spacing w:before="200" w:after="0" w:line="260" w:lineRule="exact"/>
        <w:ind w:left="0" w:right="0" w:firstLine="0"/>
        <w:jc w:val="both"/>
      </w:pPr>
      <w:r>
        <w:rPr>
          <w:rFonts w:ascii="Times New Roman" w:hAnsi="Times New Roman" w:eastAsia="Times New Roman" w:cs="Times New Roman"/>
          <w:b w:val="0"/>
          <w:sz w:val="24"/>
        </w:rPr>
        <w:t>Both rules contain type-volume limitation that includes the number of words or the number of lines of monospaced type in the brief. Fed. R. Bankr. P. 8015(</w:t>
      </w:r>
      <w:r>
        <w:rPr>
          <w:rFonts w:ascii="Times New Roman" w:hAnsi="Times New Roman" w:eastAsia="Times New Roman" w:cs="Times New Roman"/>
          <w:b/>
          <w:sz w:val="24"/>
        </w:rPr>
        <w:t>a</w:t>
      </w:r>
      <w:r>
        <w:rPr>
          <w:rFonts w:ascii="Times New Roman" w:hAnsi="Times New Roman" w:eastAsia="Times New Roman" w:cs="Times New Roman"/>
          <w:b w:val="0"/>
          <w:sz w:val="24"/>
        </w:rPr>
        <w:t>)(7)(B), 8016(d)(2). This official form certifies compliance with these type-volume limitation requirements.</w:t>
      </w:r>
    </w:p>
    <w:p>
      <w:pPr>
        <w:keepNext w:val="0"/>
        <w:spacing w:before="200" w:after="0" w:line="260" w:lineRule="exact"/>
        <w:ind w:left="0" w:right="0" w:firstLine="0"/>
        <w:jc w:val="both"/>
      </w:pPr>
      <w:r>
        <w:rPr>
          <w:rFonts w:ascii="Times New Roman" w:hAnsi="Times New Roman" w:eastAsia="Times New Roman" w:cs="Times New Roman"/>
          <w:b w:val="0"/>
          <w:sz w:val="24"/>
        </w:rPr>
        <w:t>For more information on appeal requirements, see Bankruptcy Appeals and Bankruptcy Appeals Checklist.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