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OF</w:t>
      </w:r>
    </w:p>
    <w:p>
      <w:pPr>
        <w:keepNext w:val="0"/>
        <w:spacing w:before="200" w:after="0" w:line="260" w:lineRule="exact"/>
        <w:ind w:left="360" w:right="0" w:firstLine="0"/>
        <w:jc w:val="both"/>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Under NY CLS Bus Corp § 402:</w:t>
      </w:r>
    </w:p>
    <w:p>
      <w:pPr>
        <w:keepNext w:val="0"/>
        <w:spacing w:before="200" w:after="0" w:line="260" w:lineRule="exact"/>
        <w:ind w:left="720" w:right="0" w:firstLine="0"/>
        <w:jc w:val="both"/>
      </w:pPr>
      <w:r>
        <w:rPr>
          <w:rFonts w:ascii="Times New Roman" w:hAnsi="Times New Roman" w:eastAsia="Times New Roman" w:cs="Times New Roman"/>
          <w:b w:val="0"/>
          <w:sz w:val="24"/>
        </w:rPr>
        <w:t>FIRST: The name of the corporation is [corporation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SECOND: This corporation is formed to engage in any lawful act or activity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may be organized under the Business Corporation Law, provided that it is not formed to engage in any act or activity requiring the consent or approval of any state official, department, board, agency or other body without such consent or approval first being obtained.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THIRD: This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corporation under Article 17 of the Business Corporation Law.</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FOURTH: The county, within this state, in which the office of the corporation is to be located is [name of county].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FIFTH: The total number of shares which the corporation shall have authority to issue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the par value of each share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shares are without par value are: [e.g. 200 No Par Value].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SIXTH: The Secretary of State is designated as agent of the corporation upon whom process against the corporation may be served. The address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accepted on behalf of the corporation is [address for mailings]. </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Incorporator’s signature</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[Type or print name]</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