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Independent Review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California Probate Code Section 21380 states: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provision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making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donative transfer to any of the following persons is presumed to be the product of fraud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person who drafted the instrument.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transcribed the instrument or caused it to be transcribed and who was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relationship with the transferor when the instrument was transcribed.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care custodian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transferor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dependent adult, but only if the instrument was executed during the period in which the care custodian provided services to the transferor, or within 90 days before or after that period.</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care custodian who commenced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marriage, cohabitation, or domestic partnership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transferor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dependent adult while providing services to that dependent adult, or within 90 days after those services were last provided to the dependent adult, if the donative transfer occurred, or the instrument was executed, less than six months after the marriage, cohabitation, or domestic partnership commenced.</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related by blood or affinity, within the third degree, to any person described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3.</w:t>
      </w:r>
      <w:r>
        <w:rPr>
          <w:rFonts w:ascii="Times New Roman" w:hAnsi="Times New Roman" w:eastAsia="Times New Roman" w:cs="Times New Roman"/>
          <w:b w:val="0"/>
          <w:sz w:val="24"/>
        </w:rPr>
        <w:t>, inclusive.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cohabitant or employee of any person described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3.</w:t>
      </w:r>
      <w:r>
        <w:rPr>
          <w:rFonts w:ascii="Times New Roman" w:hAnsi="Times New Roman" w:eastAsia="Times New Roman" w:cs="Times New Roman"/>
          <w:b w:val="0"/>
          <w:sz w:val="24"/>
        </w:rPr>
        <w:t>, inclusive.</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shareholder, or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firm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described in paragraph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w:t>
      </w:r>
    </w:p>
    <w:p>
      <w:pPr/>
    </w:p>
    <w:p>
      <w:pPr>
        <w:keepNext w:val="0"/>
        <w:spacing w:before="120" w:after="0" w:line="260" w:lineRule="exact"/>
        <w:ind w:left="360" w:right="0" w:firstLine="0"/>
        <w:jc w:val="left"/>
      </w:pPr>
      <w:r>
        <w:rPr>
          <w:rFonts w:ascii="Times New Roman" w:hAnsi="Times New Roman" w:eastAsia="Times New Roman" w:cs="Times New Roman"/>
          <w:b/>
          <w:sz w:val="24"/>
        </w:rPr>
        <w:t>CERTIFICATE OF INDEPENDENT REVIEW</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attorney], have reviewed [name of instrument] and have counseled my client, [name of client], fully and privately on the nature and legal effect of the designation as trustee of [name of trustee] contained in that instrument. I am so disassociated from the interest of the person named as trustee as to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to advise my client impartially and confidentially as to the consequences of the designation. On the basis of this counsel, I conclude that the designation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would otherwise be subject to removal under paragraph (6) of subdivision (b) of Section 15642 of the Probate Code Section is clearly the settlor’s intent and that intent is not the product of fraud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