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Certificate of Merger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Pursuant to Tex. Bus. Orgs. Code § 10.151, the undersigned [organizational entity types] executed the following certificate of merger:</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and jurisdiction of formation of each constituent [entity organizational type] of the merger are [entity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[entity organizational type] and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[organizational type].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of merger has been approved as required by the laws of the jurisdiction of formation of each organization that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the merger and by the governing documents of those organizations.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plan of merger has been approved, adopted, and executed by the shareholders and board of directors of each of the constituent [entity organizational type].</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name of the surviving entity is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[entity organizational type] created by the plan of merger.</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merger is to become effective [when accepted and filed by the Texas Department of State / on [date] at [12:01 am], which is not more than ninety (90) days from the date of signing].</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plan of merger is on file at the principal place of business of each surviving or new party to the merger, and the address of each principal place of business are as follows: [principal places of business of surviving entities].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Plan of Merger entered into in connection with this merger.</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Attached hereto as </w:t>
      </w:r>
      <w:r>
        <w:rPr>
          <w:rFonts w:ascii="Times New Roman" w:hAnsi="Times New Roman" w:eastAsia="Times New Roman" w:cs="Times New Roman"/>
          <w:b w:val="0"/>
          <w:sz w:val="24"/>
        </w:rPr>
        <w:t>Exhibit</w:t>
      </w:r>
      <w:r>
        <w:rPr>
          <w:rFonts w:ascii="Times New Roman" w:hAnsi="Times New Roman" w:eastAsia="Times New Roman" w:cs="Times New Roman"/>
          <w:b w:val="0"/>
          <w:sz w:val="24"/>
        </w:rPr>
        <w:t xml:space="preserve"> [B]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[restated] certificate of formation of [name of surviving entity], [without amendment / with further amendment].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to the plan of merger certify that the statements herein are true and correct, and that the person signing is authorized under the provisions of the Texas Business Organizations Code, or other law applicable to and governing the merging entity, to execute the filing instrument.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[Surviving Entity]</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