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Ownership — Short Form Merger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Ownership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 and [name] certify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They are the </w:t>
      </w:r>
      <w:r>
        <w:rPr>
          <w:rFonts w:ascii="Times New Roman" w:hAnsi="Times New Roman" w:eastAsia="Times New Roman" w:cs="Times New Roman"/>
          <w:b/>
          <w:sz w:val="24"/>
        </w:rPr>
        <w:t>president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the </w:t>
      </w:r>
      <w:r>
        <w:rPr>
          <w:rFonts w:ascii="Times New Roman" w:hAnsi="Times New Roman" w:eastAsia="Times New Roman" w:cs="Times New Roman"/>
          <w:b/>
          <w:sz w:val="24"/>
        </w:rPr>
        <w:t>secretary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respectively, of [Name of Surviving Corporation]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corporation owns 100% of the outstanding shares of [Name of Disappearing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board of directors of this corporation duly adopted the following resolution: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RESOLVED, that this corporation merge [Name of Disappearing Corporation], its wholly-owned subsidiary corporation, into itself and assume all its obligations pursuant to California Corporations Code section 1110.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further declare under penalty of perjury under the laws of the State of California that the matters set forth in this certificate are true and correct of our own knowledge.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President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President], President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Secretary]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Secretary], 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